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F7B" w:rsidRPr="00174226" w:rsidRDefault="009A2F7B" w:rsidP="009A2F7B">
      <w:pPr>
        <w:ind w:left="3686" w:hanging="1"/>
        <w:jc w:val="center"/>
        <w:rPr>
          <w:rFonts w:ascii="Times New Roman" w:hAnsi="Times New Roman"/>
          <w:sz w:val="28"/>
          <w:szCs w:val="28"/>
        </w:rPr>
      </w:pPr>
      <w:bookmarkStart w:id="0" w:name="_GoBack"/>
      <w:r w:rsidRPr="00174226">
        <w:rPr>
          <w:rFonts w:ascii="Times New Roman" w:hAnsi="Times New Roman"/>
          <w:sz w:val="28"/>
          <w:szCs w:val="28"/>
        </w:rPr>
        <w:t>УТВЕРЖДЕНО</w:t>
      </w:r>
    </w:p>
    <w:p w:rsidR="009A2F7B" w:rsidRPr="00174226" w:rsidRDefault="009A2F7B" w:rsidP="009A2F7B">
      <w:pPr>
        <w:ind w:left="3686" w:hanging="1"/>
        <w:jc w:val="center"/>
        <w:rPr>
          <w:rFonts w:ascii="Times New Roman" w:hAnsi="Times New Roman"/>
          <w:sz w:val="28"/>
          <w:szCs w:val="28"/>
        </w:rPr>
      </w:pPr>
      <w:r w:rsidRPr="00174226">
        <w:rPr>
          <w:rFonts w:ascii="Times New Roman" w:hAnsi="Times New Roman"/>
          <w:bCs/>
          <w:sz w:val="28"/>
          <w:szCs w:val="28"/>
        </w:rPr>
        <w:t>Решением Совета директоров</w:t>
      </w:r>
    </w:p>
    <w:p w:rsidR="009A2F7B" w:rsidRPr="00174226" w:rsidRDefault="009A2F7B" w:rsidP="009A2F7B">
      <w:pPr>
        <w:ind w:left="3686" w:hanging="1"/>
        <w:jc w:val="center"/>
        <w:rPr>
          <w:rFonts w:ascii="Times New Roman" w:hAnsi="Times New Roman"/>
          <w:sz w:val="28"/>
          <w:szCs w:val="28"/>
        </w:rPr>
      </w:pPr>
      <w:r w:rsidRPr="00174226">
        <w:rPr>
          <w:rFonts w:ascii="Times New Roman" w:hAnsi="Times New Roman"/>
          <w:bCs/>
          <w:sz w:val="28"/>
          <w:szCs w:val="28"/>
        </w:rPr>
        <w:t>ПАО «Газпром газораспределение Уфа»</w:t>
      </w:r>
    </w:p>
    <w:p w:rsidR="009A2F7B" w:rsidRPr="00174226" w:rsidRDefault="009A2F7B" w:rsidP="009A2F7B">
      <w:pPr>
        <w:ind w:left="3686" w:hanging="1"/>
        <w:jc w:val="center"/>
        <w:rPr>
          <w:rFonts w:ascii="Times New Roman" w:hAnsi="Times New Roman"/>
          <w:sz w:val="28"/>
          <w:szCs w:val="28"/>
        </w:rPr>
      </w:pPr>
      <w:r w:rsidRPr="00174226">
        <w:rPr>
          <w:rFonts w:ascii="Times New Roman" w:hAnsi="Times New Roman"/>
          <w:sz w:val="28"/>
          <w:szCs w:val="28"/>
        </w:rPr>
        <w:t>от «18» ноября 2024</w:t>
      </w:r>
      <w:r w:rsidRPr="00174226">
        <w:rPr>
          <w:rFonts w:ascii="Times New Roman" w:hAnsi="Times New Roman"/>
          <w:sz w:val="28"/>
          <w:szCs w:val="28"/>
          <w:lang w:val="en-US"/>
        </w:rPr>
        <w:t xml:space="preserve"> </w:t>
      </w:r>
      <w:r w:rsidRPr="00174226">
        <w:rPr>
          <w:rFonts w:ascii="Times New Roman" w:hAnsi="Times New Roman"/>
          <w:sz w:val="28"/>
          <w:szCs w:val="28"/>
        </w:rPr>
        <w:t xml:space="preserve">г. </w:t>
      </w:r>
    </w:p>
    <w:p w:rsidR="00230A2C" w:rsidRPr="00174226" w:rsidRDefault="009A2F7B" w:rsidP="009A2F7B">
      <w:pPr>
        <w:ind w:left="3686" w:hanging="1"/>
        <w:jc w:val="center"/>
        <w:rPr>
          <w:rFonts w:ascii="Times New Roman" w:hAnsi="Times New Roman"/>
          <w:sz w:val="28"/>
          <w:szCs w:val="28"/>
        </w:rPr>
      </w:pPr>
      <w:r w:rsidRPr="00174226">
        <w:rPr>
          <w:rFonts w:ascii="Times New Roman" w:hAnsi="Times New Roman"/>
          <w:sz w:val="28"/>
          <w:szCs w:val="28"/>
        </w:rPr>
        <w:t>(Протокол № 12 от 18.11.2024)</w:t>
      </w:r>
    </w:p>
    <w:bookmarkEnd w:id="0"/>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A55E95">
      <w:pPr>
        <w:ind w:firstLine="0"/>
        <w:jc w:val="center"/>
        <w:rPr>
          <w:rFonts w:ascii="Times New Roman" w:hAnsi="Times New Roman"/>
          <w:b/>
          <w:caps/>
          <w:sz w:val="28"/>
          <w:szCs w:val="28"/>
        </w:rPr>
      </w:pPr>
      <w:r>
        <w:rPr>
          <w:rFonts w:ascii="Times New Roman" w:eastAsia="Times New Roman" w:hAnsi="Times New Roman"/>
          <w:b/>
          <w:caps/>
          <w:sz w:val="28"/>
          <w:szCs w:val="28"/>
        </w:rPr>
        <w:t xml:space="preserve">ПоЛОЖЕНИЕ </w:t>
      </w:r>
    </w:p>
    <w:p w:rsidR="00230A2C" w:rsidRDefault="00A55E95">
      <w:pPr>
        <w:ind w:firstLine="0"/>
        <w:jc w:val="center"/>
        <w:rPr>
          <w:rFonts w:ascii="Times New Roman" w:hAnsi="Times New Roman"/>
          <w:b/>
          <w:bCs/>
          <w:sz w:val="28"/>
          <w:szCs w:val="28"/>
        </w:rPr>
      </w:pPr>
      <w:r>
        <w:rPr>
          <w:rFonts w:ascii="Times New Roman" w:eastAsia="Times New Roman" w:hAnsi="Times New Roman"/>
          <w:b/>
          <w:bCs/>
          <w:sz w:val="28"/>
          <w:szCs w:val="28"/>
        </w:rPr>
        <w:t>по управлению процентным риском</w:t>
      </w:r>
    </w:p>
    <w:p w:rsidR="00230A2C" w:rsidRDefault="00950FAA">
      <w:pPr>
        <w:ind w:firstLine="0"/>
        <w:jc w:val="center"/>
        <w:rPr>
          <w:rFonts w:ascii="Times New Roman" w:hAnsi="Times New Roman"/>
          <w:b/>
          <w:bCs/>
          <w:sz w:val="28"/>
          <w:szCs w:val="28"/>
        </w:rPr>
      </w:pPr>
      <w:r>
        <w:rPr>
          <w:rFonts w:ascii="Times New Roman" w:eastAsia="Times New Roman" w:hAnsi="Times New Roman"/>
          <w:b/>
          <w:bCs/>
          <w:sz w:val="28"/>
          <w:szCs w:val="28"/>
        </w:rPr>
        <w:t>ПАО «Газпром газораспределение</w:t>
      </w:r>
      <w:r w:rsidR="00A55E95">
        <w:rPr>
          <w:rFonts w:ascii="Times New Roman" w:eastAsia="Times New Roman" w:hAnsi="Times New Roman"/>
          <w:color w:val="000000"/>
          <w:sz w:val="28"/>
          <w:szCs w:val="28"/>
        </w:rPr>
        <w:t xml:space="preserve"> </w:t>
      </w:r>
      <w:r w:rsidR="00A55E95">
        <w:rPr>
          <w:rFonts w:ascii="Times New Roman" w:eastAsia="Times New Roman" w:hAnsi="Times New Roman"/>
          <w:b/>
          <w:bCs/>
          <w:color w:val="000000"/>
          <w:sz w:val="28"/>
          <w:szCs w:val="28"/>
          <w:highlight w:val="white"/>
        </w:rPr>
        <w:t>Уфа</w:t>
      </w:r>
      <w:r w:rsidR="00A55E95">
        <w:rPr>
          <w:rFonts w:ascii="Times New Roman" w:eastAsia="Times New Roman" w:hAnsi="Times New Roman"/>
          <w:b/>
          <w:bCs/>
          <w:sz w:val="28"/>
          <w:szCs w:val="28"/>
        </w:rPr>
        <w:t>»</w:t>
      </w:r>
    </w:p>
    <w:p w:rsidR="00230A2C" w:rsidRPr="00950FAA" w:rsidRDefault="00A55E95">
      <w:pPr>
        <w:ind w:firstLine="0"/>
        <w:jc w:val="center"/>
        <w:rPr>
          <w:rFonts w:ascii="Times New Roman" w:hAnsi="Times New Roman"/>
          <w:sz w:val="28"/>
          <w:szCs w:val="28"/>
        </w:rPr>
      </w:pPr>
      <w:r w:rsidRPr="00950FAA">
        <w:rPr>
          <w:rFonts w:ascii="Times New Roman" w:hAnsi="Times New Roman"/>
          <w:sz w:val="28"/>
          <w:szCs w:val="28"/>
        </w:rPr>
        <w:t>(в новой редакции)</w:t>
      </w:r>
    </w:p>
    <w:p w:rsidR="00230A2C" w:rsidRDefault="00230A2C">
      <w:pPr>
        <w:ind w:firstLine="0"/>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rPr>
          <w:rFonts w:ascii="Times New Roman" w:hAnsi="Times New Roman"/>
          <w:sz w:val="28"/>
          <w:szCs w:val="28"/>
        </w:rPr>
      </w:pPr>
    </w:p>
    <w:p w:rsidR="00230A2C" w:rsidRDefault="00230A2C">
      <w:pPr>
        <w:jc w:val="center"/>
        <w:rPr>
          <w:rFonts w:ascii="Times New Roman" w:hAnsi="Times New Roman"/>
          <w:b/>
          <w:sz w:val="28"/>
          <w:szCs w:val="28"/>
        </w:rPr>
        <w:sectPr w:rsidR="00230A2C">
          <w:headerReference w:type="default" r:id="rId8"/>
          <w:footerReference w:type="default" r:id="rId9"/>
          <w:type w:val="continuous"/>
          <w:pgSz w:w="11906" w:h="16838"/>
          <w:pgMar w:top="1134" w:right="851" w:bottom="1134" w:left="1418" w:header="709" w:footer="709" w:gutter="0"/>
          <w:pgNumType w:start="2"/>
          <w:cols w:space="708"/>
          <w:docGrid w:linePitch="360"/>
        </w:sectPr>
      </w:pPr>
    </w:p>
    <w:sdt>
      <w:sdtPr>
        <w:rPr>
          <w:rFonts w:asciiTheme="minorHAnsi" w:eastAsiaTheme="minorEastAsia" w:hAnsiTheme="minorHAnsi"/>
          <w:b w:val="0"/>
          <w:bCs w:val="0"/>
          <w:sz w:val="24"/>
          <w:szCs w:val="24"/>
        </w:rPr>
        <w:id w:val="-706416381"/>
        <w:docPartObj>
          <w:docPartGallery w:val="Table of Contents"/>
          <w:docPartUnique/>
        </w:docPartObj>
      </w:sdtPr>
      <w:sdtEndPr/>
      <w:sdtContent>
        <w:p w:rsidR="00230A2C" w:rsidRDefault="00A55E95">
          <w:pPr>
            <w:pStyle w:val="af8"/>
            <w:numPr>
              <w:ilvl w:val="0"/>
              <w:numId w:val="0"/>
            </w:numPr>
            <w:spacing w:before="240" w:after="120" w:line="240" w:lineRule="auto"/>
            <w:rPr>
              <w:rFonts w:ascii="Times New Roman" w:hAnsi="Times New Roman"/>
            </w:rPr>
          </w:pPr>
          <w:r>
            <w:rPr>
              <w:rFonts w:ascii="Times New Roman" w:eastAsia="Times New Roman" w:hAnsi="Times New Roman"/>
              <w:spacing w:val="-20"/>
              <w:szCs w:val="28"/>
            </w:rPr>
            <w:t>ОГЛАВЛЕНИЕ</w:t>
          </w:r>
        </w:p>
        <w:p w:rsidR="00230A2C" w:rsidRDefault="00A55E95">
          <w:pPr>
            <w:pStyle w:val="12"/>
            <w:rPr>
              <w:rFonts w:ascii="Times New Roman" w:hAnsi="Times New Roman" w:cs="Times New Roman"/>
              <w:sz w:val="22"/>
              <w:szCs w:val="22"/>
            </w:rPr>
          </w:pP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TOC \o "1-3" \h \z \u </w:instrText>
          </w:r>
          <w:r>
            <w:rPr>
              <w:rFonts w:ascii="Times New Roman" w:eastAsia="Times New Roman" w:hAnsi="Times New Roman" w:cs="Times New Roman"/>
              <w:sz w:val="20"/>
            </w:rPr>
            <w:fldChar w:fldCharType="separate"/>
          </w:r>
          <w:hyperlink w:anchor="_Toc178597927" w:tooltip="#_Toc178597927" w:history="1">
            <w:r>
              <w:rPr>
                <w:rStyle w:val="aff"/>
                <w:rFonts w:ascii="Times New Roman" w:eastAsia="Times New Roman" w:hAnsi="Times New Roman" w:cs="Times New Roman"/>
              </w:rPr>
              <w:t>1.</w:t>
            </w:r>
            <w:r>
              <w:rPr>
                <w:rFonts w:ascii="Times New Roman" w:eastAsia="Times New Roman" w:hAnsi="Times New Roman" w:cs="Times New Roman"/>
                <w:sz w:val="22"/>
                <w:szCs w:val="22"/>
                <w:lang w:eastAsia="ru-RU"/>
              </w:rPr>
              <w:t xml:space="preserve"> </w:t>
            </w:r>
            <w:r>
              <w:rPr>
                <w:rStyle w:val="aff"/>
                <w:rFonts w:ascii="Times New Roman" w:eastAsia="Times New Roman" w:hAnsi="Times New Roman" w:cs="Times New Roman"/>
              </w:rPr>
              <w:t>Общие положения</w:t>
            </w:r>
            <w:r>
              <w:rPr>
                <w:rFonts w:ascii="Times New Roman" w:eastAsia="Times New Roman" w:hAnsi="Times New Roman" w:cs="Times New Roman"/>
              </w:rPr>
              <w:tab/>
            </w:r>
            <w:r>
              <w:rPr>
                <w:rFonts w:ascii="Times New Roman" w:eastAsia="Times New Roman" w:hAnsi="Times New Roman" w:cs="Times New Roman"/>
              </w:rPr>
              <w:fldChar w:fldCharType="begin"/>
            </w:r>
            <w:r>
              <w:rPr>
                <w:rFonts w:ascii="Times New Roman" w:eastAsia="Times New Roman" w:hAnsi="Times New Roman" w:cs="Times New Roman"/>
              </w:rPr>
              <w:instrText xml:space="preserve"> PAGEREF _Toc178597927 \h </w:instrText>
            </w:r>
            <w:r>
              <w:rPr>
                <w:rFonts w:ascii="Times New Roman" w:eastAsia="Times New Roman" w:hAnsi="Times New Roman" w:cs="Times New Roman"/>
              </w:rPr>
            </w:r>
            <w:r>
              <w:rPr>
                <w:rFonts w:ascii="Times New Roman" w:eastAsia="Times New Roman" w:hAnsi="Times New Roman" w:cs="Times New Roman"/>
              </w:rPr>
              <w:fldChar w:fldCharType="separate"/>
            </w:r>
            <w:r>
              <w:rPr>
                <w:rFonts w:ascii="Times New Roman" w:eastAsia="Times New Roman" w:hAnsi="Times New Roman" w:cs="Times New Roman"/>
              </w:rPr>
              <w:t>3</w:t>
            </w:r>
            <w:r>
              <w:rPr>
                <w:rFonts w:ascii="Times New Roman" w:eastAsia="Times New Roman" w:hAnsi="Times New Roman" w:cs="Times New Roman"/>
              </w:rPr>
              <w:fldChar w:fldCharType="end"/>
            </w:r>
          </w:hyperlink>
        </w:p>
        <w:p w:rsidR="00230A2C" w:rsidRDefault="00C41012">
          <w:pPr>
            <w:pStyle w:val="24"/>
            <w:rPr>
              <w:rFonts w:ascii="Times New Roman" w:hAnsi="Times New Roman" w:cs="Times New Roman"/>
              <w:iCs w:val="0"/>
              <w:spacing w:val="0"/>
              <w:sz w:val="22"/>
              <w:szCs w:val="22"/>
            </w:rPr>
          </w:pPr>
          <w:hyperlink w:anchor="_Toc178597928" w:tooltip="#_Toc178597928" w:history="1">
            <w:r w:rsidR="00A55E95">
              <w:rPr>
                <w:rStyle w:val="aff"/>
                <w:rFonts w:ascii="Times New Roman" w:eastAsia="Times New Roman" w:hAnsi="Times New Roman" w:cs="Times New Roman"/>
              </w:rPr>
              <w:t>1.1.</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Используемые сокращения</w:t>
            </w:r>
            <w:r w:rsidR="00A55E95">
              <w:rPr>
                <w:rFonts w:ascii="Times New Roman" w:eastAsia="Times New Roman" w:hAnsi="Times New Roman" w:cs="Times New Roman"/>
              </w:rPr>
              <w:tab/>
            </w:r>
            <w:r w:rsidR="00A55E95">
              <w:rPr>
                <w:rFonts w:ascii="Times New Roman" w:eastAsia="Times New Roman" w:hAnsi="Times New Roman" w:cs="Times New Roman"/>
              </w:rPr>
              <w:fldChar w:fldCharType="begin"/>
            </w:r>
            <w:r w:rsidR="00A55E95">
              <w:rPr>
                <w:rFonts w:ascii="Times New Roman" w:eastAsia="Times New Roman" w:hAnsi="Times New Roman" w:cs="Times New Roman"/>
              </w:rPr>
              <w:instrText xml:space="preserve"> PAGEREF _Toc178597928 \h </w:instrText>
            </w:r>
            <w:r w:rsidR="00A55E95">
              <w:rPr>
                <w:rFonts w:ascii="Times New Roman" w:eastAsia="Times New Roman" w:hAnsi="Times New Roman" w:cs="Times New Roman"/>
              </w:rPr>
            </w:r>
            <w:r w:rsidR="00A55E95">
              <w:rPr>
                <w:rFonts w:ascii="Times New Roman" w:eastAsia="Times New Roman" w:hAnsi="Times New Roman" w:cs="Times New Roman"/>
              </w:rPr>
              <w:fldChar w:fldCharType="separate"/>
            </w:r>
            <w:r w:rsidR="00A55E95">
              <w:rPr>
                <w:rFonts w:ascii="Times New Roman" w:eastAsia="Times New Roman" w:hAnsi="Times New Roman" w:cs="Times New Roman"/>
              </w:rPr>
              <w:t>3</w:t>
            </w:r>
            <w:r w:rsidR="00A55E95">
              <w:rPr>
                <w:rFonts w:ascii="Times New Roman" w:eastAsia="Times New Roman" w:hAnsi="Times New Roman" w:cs="Times New Roman"/>
              </w:rPr>
              <w:fldChar w:fldCharType="end"/>
            </w:r>
          </w:hyperlink>
        </w:p>
        <w:p w:rsidR="00230A2C" w:rsidRDefault="00C41012">
          <w:pPr>
            <w:pStyle w:val="24"/>
            <w:rPr>
              <w:rFonts w:ascii="Times New Roman" w:hAnsi="Times New Roman" w:cs="Times New Roman"/>
              <w:iCs w:val="0"/>
              <w:spacing w:val="0"/>
              <w:sz w:val="22"/>
              <w:szCs w:val="22"/>
            </w:rPr>
          </w:pPr>
          <w:hyperlink w:anchor="_Toc178597929" w:tooltip="#_Toc178597929" w:history="1">
            <w:r w:rsidR="00A55E95">
              <w:rPr>
                <w:rStyle w:val="aff"/>
                <w:rFonts w:ascii="Times New Roman" w:eastAsia="Times New Roman" w:hAnsi="Times New Roman" w:cs="Times New Roman"/>
              </w:rPr>
              <w:t>1.2.</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Термины и определения</w:t>
            </w:r>
            <w:r w:rsidR="00A55E95">
              <w:rPr>
                <w:rFonts w:ascii="Times New Roman" w:eastAsia="Times New Roman" w:hAnsi="Times New Roman" w:cs="Times New Roman"/>
              </w:rPr>
              <w:tab/>
            </w:r>
            <w:r w:rsidR="00A55E95">
              <w:rPr>
                <w:rFonts w:ascii="Times New Roman" w:eastAsia="Times New Roman" w:hAnsi="Times New Roman" w:cs="Times New Roman"/>
              </w:rPr>
              <w:fldChar w:fldCharType="begin"/>
            </w:r>
            <w:r w:rsidR="00A55E95">
              <w:rPr>
                <w:rFonts w:ascii="Times New Roman" w:eastAsia="Times New Roman" w:hAnsi="Times New Roman" w:cs="Times New Roman"/>
              </w:rPr>
              <w:instrText xml:space="preserve"> PAGEREF _Toc178597929 \h </w:instrText>
            </w:r>
            <w:r w:rsidR="00A55E95">
              <w:rPr>
                <w:rFonts w:ascii="Times New Roman" w:eastAsia="Times New Roman" w:hAnsi="Times New Roman" w:cs="Times New Roman"/>
              </w:rPr>
            </w:r>
            <w:r w:rsidR="00A55E95">
              <w:rPr>
                <w:rFonts w:ascii="Times New Roman" w:eastAsia="Times New Roman" w:hAnsi="Times New Roman" w:cs="Times New Roman"/>
              </w:rPr>
              <w:fldChar w:fldCharType="separate"/>
            </w:r>
            <w:r w:rsidR="00A55E95">
              <w:rPr>
                <w:rFonts w:ascii="Times New Roman" w:eastAsia="Times New Roman" w:hAnsi="Times New Roman" w:cs="Times New Roman"/>
              </w:rPr>
              <w:t>3</w:t>
            </w:r>
            <w:r w:rsidR="00A55E95">
              <w:rPr>
                <w:rFonts w:ascii="Times New Roman" w:eastAsia="Times New Roman" w:hAnsi="Times New Roman" w:cs="Times New Roman"/>
              </w:rPr>
              <w:fldChar w:fldCharType="end"/>
            </w:r>
          </w:hyperlink>
        </w:p>
        <w:p w:rsidR="00230A2C" w:rsidRDefault="00C41012">
          <w:pPr>
            <w:pStyle w:val="24"/>
            <w:rPr>
              <w:rFonts w:ascii="Times New Roman" w:hAnsi="Times New Roman" w:cs="Times New Roman"/>
              <w:iCs w:val="0"/>
              <w:spacing w:val="0"/>
              <w:sz w:val="22"/>
              <w:szCs w:val="22"/>
            </w:rPr>
          </w:pPr>
          <w:hyperlink w:anchor="_Toc178597930" w:tooltip="#_Toc178597930" w:history="1">
            <w:r w:rsidR="00A55E95">
              <w:rPr>
                <w:rStyle w:val="aff"/>
                <w:rFonts w:ascii="Times New Roman" w:eastAsia="Times New Roman" w:hAnsi="Times New Roman" w:cs="Times New Roman"/>
              </w:rPr>
              <w:t>1.3.</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Цель и задачи Положения</w:t>
            </w:r>
            <w:r w:rsidR="00A55E95">
              <w:rPr>
                <w:rFonts w:ascii="Times New Roman" w:eastAsia="Times New Roman" w:hAnsi="Times New Roman" w:cs="Times New Roman"/>
              </w:rPr>
              <w:tab/>
            </w:r>
            <w:r w:rsidR="00A55E95">
              <w:rPr>
                <w:rFonts w:ascii="Times New Roman" w:eastAsia="Times New Roman" w:hAnsi="Times New Roman" w:cs="Times New Roman"/>
              </w:rPr>
              <w:fldChar w:fldCharType="begin"/>
            </w:r>
            <w:r w:rsidR="00A55E95">
              <w:rPr>
                <w:rFonts w:ascii="Times New Roman" w:eastAsia="Times New Roman" w:hAnsi="Times New Roman" w:cs="Times New Roman"/>
              </w:rPr>
              <w:instrText xml:space="preserve"> PAGEREF _Toc178597930 \h </w:instrText>
            </w:r>
            <w:r w:rsidR="00A55E95">
              <w:rPr>
                <w:rFonts w:ascii="Times New Roman" w:eastAsia="Times New Roman" w:hAnsi="Times New Roman" w:cs="Times New Roman"/>
              </w:rPr>
            </w:r>
            <w:r w:rsidR="00A55E95">
              <w:rPr>
                <w:rFonts w:ascii="Times New Roman" w:eastAsia="Times New Roman" w:hAnsi="Times New Roman" w:cs="Times New Roman"/>
              </w:rPr>
              <w:fldChar w:fldCharType="separate"/>
            </w:r>
            <w:r w:rsidR="00A55E95">
              <w:rPr>
                <w:rFonts w:ascii="Times New Roman" w:eastAsia="Times New Roman" w:hAnsi="Times New Roman" w:cs="Times New Roman"/>
              </w:rPr>
              <w:t>7</w:t>
            </w:r>
            <w:r w:rsidR="00A55E95">
              <w:rPr>
                <w:rFonts w:ascii="Times New Roman" w:eastAsia="Times New Roman" w:hAnsi="Times New Roman" w:cs="Times New Roman"/>
              </w:rPr>
              <w:fldChar w:fldCharType="end"/>
            </w:r>
          </w:hyperlink>
        </w:p>
        <w:p w:rsidR="00230A2C" w:rsidRDefault="00C41012">
          <w:pPr>
            <w:pStyle w:val="24"/>
            <w:rPr>
              <w:rFonts w:ascii="Times New Roman" w:hAnsi="Times New Roman" w:cs="Times New Roman"/>
              <w:iCs w:val="0"/>
              <w:spacing w:val="0"/>
              <w:sz w:val="22"/>
              <w:szCs w:val="22"/>
            </w:rPr>
          </w:pPr>
          <w:hyperlink w:anchor="_Toc178597931" w:tooltip="#_Toc178597931" w:history="1">
            <w:r w:rsidR="00A55E95">
              <w:rPr>
                <w:rStyle w:val="aff"/>
                <w:rFonts w:ascii="Times New Roman" w:eastAsia="Times New Roman" w:hAnsi="Times New Roman" w:cs="Times New Roman"/>
              </w:rPr>
              <w:t>1.4. Нормативные документы</w:t>
            </w:r>
            <w:r w:rsidR="00A55E95">
              <w:rPr>
                <w:rFonts w:ascii="Times New Roman" w:eastAsia="Times New Roman" w:hAnsi="Times New Roman" w:cs="Times New Roman"/>
              </w:rPr>
              <w:tab/>
              <w:t>7</w:t>
            </w:r>
          </w:hyperlink>
        </w:p>
        <w:p w:rsidR="00230A2C" w:rsidRDefault="00C41012">
          <w:pPr>
            <w:pStyle w:val="24"/>
            <w:rPr>
              <w:rFonts w:ascii="Times New Roman" w:hAnsi="Times New Roman" w:cs="Times New Roman"/>
              <w:iCs w:val="0"/>
              <w:spacing w:val="0"/>
              <w:sz w:val="22"/>
              <w:szCs w:val="22"/>
            </w:rPr>
          </w:pPr>
          <w:hyperlink w:anchor="_Toc178597932" w:tooltip="#_Toc178597932" w:history="1">
            <w:r w:rsidR="00A55E95">
              <w:rPr>
                <w:rStyle w:val="aff"/>
                <w:rFonts w:ascii="Times New Roman" w:eastAsia="Times New Roman" w:hAnsi="Times New Roman" w:cs="Times New Roman"/>
              </w:rPr>
              <w:t>1.5. Порядок изменения Положения</w:t>
            </w:r>
            <w:r w:rsidR="00A55E95">
              <w:rPr>
                <w:rFonts w:ascii="Times New Roman" w:eastAsia="Times New Roman" w:hAnsi="Times New Roman" w:cs="Times New Roman"/>
              </w:rPr>
              <w:tab/>
              <w:t>7</w:t>
            </w:r>
          </w:hyperlink>
        </w:p>
        <w:p w:rsidR="00230A2C" w:rsidRDefault="00C41012">
          <w:pPr>
            <w:pStyle w:val="12"/>
            <w:rPr>
              <w:rFonts w:ascii="Times New Roman" w:hAnsi="Times New Roman" w:cs="Times New Roman"/>
              <w:sz w:val="22"/>
              <w:szCs w:val="22"/>
            </w:rPr>
          </w:pPr>
          <w:hyperlink w:anchor="_Toc178597933" w:tooltip="#_Toc178597933" w:history="1">
            <w:r w:rsidR="00A55E95">
              <w:rPr>
                <w:rStyle w:val="aff"/>
                <w:rFonts w:ascii="Times New Roman" w:eastAsia="Times New Roman" w:hAnsi="Times New Roman" w:cs="Times New Roman"/>
              </w:rPr>
              <w:t>2.</w:t>
            </w:r>
            <w:r w:rsidR="00A55E95">
              <w:rPr>
                <w:rFonts w:ascii="Times New Roman" w:eastAsia="Times New Roman" w:hAnsi="Times New Roman" w:cs="Times New Roman"/>
                <w:sz w:val="22"/>
                <w:szCs w:val="22"/>
                <w:lang w:eastAsia="ru-RU"/>
              </w:rPr>
              <w:t xml:space="preserve"> </w:t>
            </w:r>
            <w:r w:rsidR="00A55E95">
              <w:rPr>
                <w:rStyle w:val="aff"/>
                <w:rFonts w:ascii="Times New Roman" w:eastAsia="Times New Roman" w:hAnsi="Times New Roman" w:cs="Times New Roman"/>
              </w:rPr>
              <w:t>Процесс управления процентным риском</w:t>
            </w:r>
            <w:r w:rsidR="00A55E95">
              <w:rPr>
                <w:rFonts w:ascii="Times New Roman" w:eastAsia="Times New Roman" w:hAnsi="Times New Roman" w:cs="Times New Roman"/>
              </w:rPr>
              <w:tab/>
              <w:t>8</w:t>
            </w:r>
          </w:hyperlink>
        </w:p>
        <w:p w:rsidR="00230A2C" w:rsidRDefault="00C41012">
          <w:pPr>
            <w:pStyle w:val="24"/>
            <w:rPr>
              <w:rFonts w:ascii="Times New Roman" w:hAnsi="Times New Roman" w:cs="Times New Roman"/>
              <w:iCs w:val="0"/>
              <w:spacing w:val="0"/>
              <w:sz w:val="22"/>
              <w:szCs w:val="22"/>
            </w:rPr>
          </w:pPr>
          <w:hyperlink w:anchor="_Toc178597934" w:tooltip="#_Toc178597934" w:history="1">
            <w:r w:rsidR="00A55E95">
              <w:rPr>
                <w:rStyle w:val="aff"/>
                <w:rFonts w:ascii="Times New Roman" w:eastAsia="Times New Roman" w:hAnsi="Times New Roman" w:cs="Times New Roman"/>
              </w:rPr>
              <w:t>2.1.</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Цели и задачи управления процентным риском</w:t>
            </w:r>
            <w:r w:rsidR="00A55E95">
              <w:rPr>
                <w:rFonts w:ascii="Times New Roman" w:eastAsia="Times New Roman" w:hAnsi="Times New Roman" w:cs="Times New Roman"/>
              </w:rPr>
              <w:tab/>
              <w:t>8</w:t>
            </w:r>
          </w:hyperlink>
        </w:p>
        <w:p w:rsidR="00230A2C" w:rsidRDefault="00C41012">
          <w:pPr>
            <w:pStyle w:val="24"/>
            <w:rPr>
              <w:rFonts w:ascii="Times New Roman" w:hAnsi="Times New Roman" w:cs="Times New Roman"/>
              <w:iCs w:val="0"/>
              <w:spacing w:val="0"/>
              <w:sz w:val="22"/>
              <w:szCs w:val="22"/>
            </w:rPr>
          </w:pPr>
          <w:hyperlink w:anchor="_Toc178597935" w:tooltip="#_Toc178597935" w:history="1">
            <w:r w:rsidR="00A55E95">
              <w:rPr>
                <w:rStyle w:val="aff"/>
                <w:rFonts w:ascii="Times New Roman" w:eastAsia="Times New Roman" w:hAnsi="Times New Roman" w:cs="Times New Roman"/>
              </w:rPr>
              <w:t>2.2.</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Принципы управления процентным риском</w:t>
            </w:r>
            <w:r w:rsidR="00A55E95">
              <w:rPr>
                <w:rFonts w:ascii="Times New Roman" w:eastAsia="Times New Roman" w:hAnsi="Times New Roman" w:cs="Times New Roman"/>
              </w:rPr>
              <w:tab/>
              <w:t>9</w:t>
            </w:r>
          </w:hyperlink>
        </w:p>
        <w:p w:rsidR="00230A2C" w:rsidRDefault="00C41012">
          <w:pPr>
            <w:pStyle w:val="24"/>
            <w:rPr>
              <w:rFonts w:ascii="Times New Roman" w:hAnsi="Times New Roman" w:cs="Times New Roman"/>
              <w:iCs w:val="0"/>
              <w:spacing w:val="0"/>
              <w:sz w:val="22"/>
              <w:szCs w:val="22"/>
            </w:rPr>
          </w:pPr>
          <w:hyperlink w:anchor="_Toc178597936" w:tooltip="#_Toc178597936" w:history="1">
            <w:r w:rsidR="00A55E95">
              <w:rPr>
                <w:rStyle w:val="aff"/>
                <w:rFonts w:ascii="Times New Roman" w:eastAsia="Times New Roman" w:hAnsi="Times New Roman" w:cs="Times New Roman"/>
              </w:rPr>
              <w:t>2.3.</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Участники управления процентным риском. Распределение полномочий</w:t>
            </w:r>
            <w:r w:rsidR="00A55E95">
              <w:rPr>
                <w:rFonts w:ascii="Times New Roman" w:eastAsia="Times New Roman" w:hAnsi="Times New Roman" w:cs="Times New Roman"/>
              </w:rPr>
              <w:tab/>
              <w:t>10</w:t>
            </w:r>
          </w:hyperlink>
        </w:p>
        <w:p w:rsidR="00230A2C" w:rsidRDefault="00C41012">
          <w:pPr>
            <w:pStyle w:val="12"/>
            <w:rPr>
              <w:rFonts w:ascii="Times New Roman" w:hAnsi="Times New Roman" w:cs="Times New Roman"/>
              <w:sz w:val="22"/>
              <w:szCs w:val="22"/>
            </w:rPr>
          </w:pPr>
          <w:hyperlink w:anchor="_Toc178597937" w:tooltip="#_Toc178597937" w:history="1">
            <w:r w:rsidR="00A55E95">
              <w:rPr>
                <w:rStyle w:val="aff"/>
                <w:rFonts w:ascii="Times New Roman" w:eastAsia="Times New Roman" w:hAnsi="Times New Roman" w:cs="Times New Roman"/>
              </w:rPr>
              <w:t>3.</w:t>
            </w:r>
            <w:r w:rsidR="00A55E95">
              <w:rPr>
                <w:rFonts w:ascii="Times New Roman" w:eastAsia="Times New Roman" w:hAnsi="Times New Roman" w:cs="Times New Roman"/>
                <w:sz w:val="22"/>
                <w:szCs w:val="22"/>
                <w:lang w:eastAsia="ru-RU"/>
              </w:rPr>
              <w:t xml:space="preserve"> </w:t>
            </w:r>
            <w:r w:rsidR="00A55E95">
              <w:rPr>
                <w:rStyle w:val="aff"/>
                <w:rFonts w:ascii="Times New Roman" w:eastAsia="Times New Roman" w:hAnsi="Times New Roman" w:cs="Times New Roman"/>
              </w:rPr>
              <w:t>Компоненты управления процентным риском</w:t>
            </w:r>
            <w:r w:rsidR="00A55E95">
              <w:rPr>
                <w:rFonts w:ascii="Times New Roman" w:eastAsia="Times New Roman" w:hAnsi="Times New Roman" w:cs="Times New Roman"/>
              </w:rPr>
              <w:tab/>
              <w:t>12</w:t>
            </w:r>
          </w:hyperlink>
        </w:p>
        <w:p w:rsidR="00230A2C" w:rsidRDefault="00C41012">
          <w:pPr>
            <w:pStyle w:val="24"/>
            <w:rPr>
              <w:rFonts w:ascii="Times New Roman" w:hAnsi="Times New Roman" w:cs="Times New Roman"/>
              <w:iCs w:val="0"/>
              <w:spacing w:val="0"/>
              <w:sz w:val="22"/>
              <w:szCs w:val="22"/>
            </w:rPr>
          </w:pPr>
          <w:hyperlink w:anchor="_Toc178597938" w:tooltip="#_Toc178597938" w:history="1">
            <w:r w:rsidR="00A55E95">
              <w:rPr>
                <w:rStyle w:val="aff"/>
                <w:rFonts w:ascii="Times New Roman" w:eastAsia="Times New Roman" w:hAnsi="Times New Roman" w:cs="Times New Roman"/>
              </w:rPr>
              <w:t>3.1.</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Постановка целей при управлении процентным риском</w:t>
            </w:r>
            <w:r w:rsidR="00A55E95">
              <w:rPr>
                <w:rFonts w:ascii="Times New Roman" w:eastAsia="Times New Roman" w:hAnsi="Times New Roman" w:cs="Times New Roman"/>
              </w:rPr>
              <w:tab/>
              <w:t>12</w:t>
            </w:r>
          </w:hyperlink>
        </w:p>
        <w:p w:rsidR="00230A2C" w:rsidRDefault="00C41012">
          <w:pPr>
            <w:pStyle w:val="24"/>
            <w:rPr>
              <w:rFonts w:ascii="Times New Roman" w:hAnsi="Times New Roman" w:cs="Times New Roman"/>
              <w:iCs w:val="0"/>
              <w:spacing w:val="0"/>
              <w:sz w:val="22"/>
              <w:szCs w:val="22"/>
            </w:rPr>
          </w:pPr>
          <w:hyperlink w:anchor="_Toc178597939" w:tooltip="#_Toc178597939" w:history="1">
            <w:r w:rsidR="00A55E95">
              <w:rPr>
                <w:rStyle w:val="aff"/>
                <w:rFonts w:ascii="Times New Roman" w:eastAsia="Times New Roman" w:hAnsi="Times New Roman" w:cs="Times New Roman"/>
              </w:rPr>
              <w:t>3.2.</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Идентификация процентного риска</w:t>
            </w:r>
            <w:r w:rsidR="00A55E95">
              <w:rPr>
                <w:rFonts w:ascii="Times New Roman" w:eastAsia="Times New Roman" w:hAnsi="Times New Roman" w:cs="Times New Roman"/>
              </w:rPr>
              <w:tab/>
              <w:t>13</w:t>
            </w:r>
          </w:hyperlink>
        </w:p>
        <w:p w:rsidR="00230A2C" w:rsidRDefault="00C41012">
          <w:pPr>
            <w:pStyle w:val="24"/>
            <w:rPr>
              <w:rFonts w:ascii="Times New Roman" w:hAnsi="Times New Roman" w:cs="Times New Roman"/>
              <w:iCs w:val="0"/>
              <w:spacing w:val="0"/>
              <w:sz w:val="22"/>
              <w:szCs w:val="22"/>
            </w:rPr>
          </w:pPr>
          <w:hyperlink w:anchor="_Toc178597940" w:tooltip="#_Toc178597940" w:history="1">
            <w:r w:rsidR="00A55E95">
              <w:rPr>
                <w:rStyle w:val="aff"/>
                <w:rFonts w:ascii="Times New Roman" w:eastAsia="Times New Roman" w:hAnsi="Times New Roman" w:cs="Times New Roman"/>
              </w:rPr>
              <w:t>3.3.</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Оценка процентного риска</w:t>
            </w:r>
            <w:r w:rsidR="00A55E95">
              <w:rPr>
                <w:rFonts w:ascii="Times New Roman" w:eastAsia="Times New Roman" w:hAnsi="Times New Roman" w:cs="Times New Roman"/>
              </w:rPr>
              <w:tab/>
              <w:t>14</w:t>
            </w:r>
          </w:hyperlink>
        </w:p>
        <w:p w:rsidR="00230A2C" w:rsidRDefault="00C41012">
          <w:pPr>
            <w:pStyle w:val="24"/>
            <w:rPr>
              <w:rFonts w:ascii="Times New Roman" w:hAnsi="Times New Roman" w:cs="Times New Roman"/>
              <w:iCs w:val="0"/>
              <w:spacing w:val="0"/>
              <w:sz w:val="22"/>
              <w:szCs w:val="22"/>
            </w:rPr>
          </w:pPr>
          <w:hyperlink w:anchor="_Toc178597941" w:tooltip="#_Toc178597941" w:history="1">
            <w:r w:rsidR="00A55E95">
              <w:rPr>
                <w:rStyle w:val="aff"/>
                <w:rFonts w:ascii="Times New Roman" w:eastAsia="Times New Roman" w:hAnsi="Times New Roman" w:cs="Times New Roman"/>
              </w:rPr>
              <w:t>3.4.</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Реагирование на процентный риск. Мероприятия по управлению процентным риском…......</w:t>
            </w:r>
            <w:r w:rsidR="00A55E95">
              <w:rPr>
                <w:rFonts w:ascii="Times New Roman" w:eastAsia="Times New Roman" w:hAnsi="Times New Roman" w:cs="Times New Roman"/>
              </w:rPr>
              <w:tab/>
              <w:t>16</w:t>
            </w:r>
          </w:hyperlink>
        </w:p>
        <w:p w:rsidR="00230A2C" w:rsidRDefault="00C41012">
          <w:pPr>
            <w:pStyle w:val="24"/>
            <w:rPr>
              <w:rFonts w:ascii="Times New Roman" w:hAnsi="Times New Roman" w:cs="Times New Roman"/>
              <w:iCs w:val="0"/>
              <w:spacing w:val="0"/>
              <w:sz w:val="22"/>
              <w:szCs w:val="22"/>
            </w:rPr>
          </w:pPr>
          <w:hyperlink w:anchor="_Toc178597942" w:tooltip="#_Toc178597942" w:history="1">
            <w:r w:rsidR="00A55E95">
              <w:rPr>
                <w:rStyle w:val="aff"/>
                <w:rFonts w:ascii="Times New Roman" w:eastAsia="Times New Roman" w:hAnsi="Times New Roman" w:cs="Times New Roman"/>
              </w:rPr>
              <w:t>3.5.</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Мониторинг процентного риска и мероприятий по управлению процентным риском……..</w:t>
            </w:r>
            <w:r w:rsidR="00A55E95">
              <w:rPr>
                <w:rFonts w:ascii="Times New Roman" w:eastAsia="Times New Roman" w:hAnsi="Times New Roman" w:cs="Times New Roman"/>
              </w:rPr>
              <w:tab/>
              <w:t>16</w:t>
            </w:r>
          </w:hyperlink>
        </w:p>
        <w:p w:rsidR="00230A2C" w:rsidRDefault="00C41012">
          <w:pPr>
            <w:pStyle w:val="24"/>
            <w:rPr>
              <w:rFonts w:ascii="Times New Roman" w:hAnsi="Times New Roman" w:cs="Times New Roman"/>
              <w:iCs w:val="0"/>
              <w:spacing w:val="0"/>
              <w:sz w:val="22"/>
              <w:szCs w:val="22"/>
            </w:rPr>
          </w:pPr>
          <w:hyperlink w:anchor="_Toc178597943" w:tooltip="#_Toc178597943" w:history="1">
            <w:r w:rsidR="00A55E95">
              <w:rPr>
                <w:rStyle w:val="aff"/>
                <w:rFonts w:ascii="Times New Roman" w:eastAsia="Times New Roman" w:hAnsi="Times New Roman" w:cs="Times New Roman"/>
              </w:rPr>
              <w:t>3.6.</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Отчетность и обмен информацией в рамках управления процентным риском</w:t>
            </w:r>
            <w:r w:rsidR="00A55E95">
              <w:rPr>
                <w:rFonts w:ascii="Times New Roman" w:eastAsia="Times New Roman" w:hAnsi="Times New Roman" w:cs="Times New Roman"/>
              </w:rPr>
              <w:tab/>
              <w:t>18</w:t>
            </w:r>
          </w:hyperlink>
        </w:p>
        <w:p w:rsidR="00230A2C" w:rsidRDefault="00C41012">
          <w:pPr>
            <w:pStyle w:val="24"/>
            <w:rPr>
              <w:rFonts w:ascii="Times New Roman" w:hAnsi="Times New Roman" w:cs="Times New Roman"/>
              <w:iCs w:val="0"/>
              <w:spacing w:val="0"/>
              <w:sz w:val="22"/>
              <w:szCs w:val="22"/>
            </w:rPr>
          </w:pPr>
          <w:hyperlink w:anchor="_Toc178597944" w:tooltip="#_Toc178597944" w:history="1">
            <w:r w:rsidR="00A55E95">
              <w:rPr>
                <w:rStyle w:val="aff"/>
                <w:rFonts w:ascii="Times New Roman" w:eastAsia="Times New Roman" w:hAnsi="Times New Roman" w:cs="Times New Roman"/>
              </w:rPr>
              <w:t>3.7.</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Оценка эффективности управления процентным риском</w:t>
            </w:r>
            <w:r w:rsidR="00A55E95">
              <w:rPr>
                <w:rFonts w:ascii="Times New Roman" w:eastAsia="Times New Roman" w:hAnsi="Times New Roman" w:cs="Times New Roman"/>
              </w:rPr>
              <w:tab/>
              <w:t>19</w:t>
            </w:r>
          </w:hyperlink>
        </w:p>
        <w:p w:rsidR="00230A2C" w:rsidRDefault="00C41012">
          <w:pPr>
            <w:pStyle w:val="24"/>
            <w:tabs>
              <w:tab w:val="clear" w:pos="567"/>
              <w:tab w:val="clear" w:pos="1440"/>
              <w:tab w:val="clear" w:pos="9627"/>
            </w:tabs>
            <w:rPr>
              <w:rFonts w:ascii="Times New Roman" w:hAnsi="Times New Roman" w:cs="Times New Roman"/>
              <w:iCs w:val="0"/>
              <w:spacing w:val="0"/>
              <w:sz w:val="22"/>
              <w:szCs w:val="22"/>
            </w:rPr>
          </w:pPr>
          <w:hyperlink w:anchor="_Toc178597945" w:tooltip="#_Toc178597945" w:history="1">
            <w:r w:rsidR="00A55E95">
              <w:rPr>
                <w:rStyle w:val="aff"/>
                <w:rFonts w:ascii="Times New Roman" w:eastAsia="Times New Roman" w:hAnsi="Times New Roman" w:cs="Times New Roman"/>
              </w:rPr>
              <w:t>3.8.</w:t>
            </w:r>
            <w:r w:rsidR="00A55E95">
              <w:rPr>
                <w:rFonts w:ascii="Times New Roman" w:eastAsia="Times New Roman" w:hAnsi="Times New Roman" w:cs="Times New Roman"/>
                <w:iCs w:val="0"/>
                <w:spacing w:val="0"/>
                <w:sz w:val="22"/>
                <w:szCs w:val="22"/>
                <w:lang w:eastAsia="ru-RU"/>
              </w:rPr>
              <w:tab/>
            </w:r>
            <w:r w:rsidR="00A55E95">
              <w:rPr>
                <w:rStyle w:val="aff"/>
                <w:rFonts w:ascii="Times New Roman" w:eastAsia="Times New Roman" w:hAnsi="Times New Roman" w:cs="Times New Roman"/>
              </w:rPr>
              <w:t>Внутренний контроль управления процентным риском</w:t>
            </w:r>
            <w:r w:rsidR="00A55E95">
              <w:rPr>
                <w:rFonts w:ascii="Times New Roman" w:eastAsia="Times New Roman" w:hAnsi="Times New Roman" w:cs="Times New Roman"/>
              </w:rPr>
              <w:t>........................................20</w:t>
            </w:r>
          </w:hyperlink>
        </w:p>
        <w:p w:rsidR="00230A2C" w:rsidRDefault="00A55E95">
          <w:pPr>
            <w:tabs>
              <w:tab w:val="left" w:pos="567"/>
            </w:tabs>
            <w:ind w:firstLine="0"/>
            <w:rPr>
              <w:rFonts w:ascii="Times New Roman" w:hAnsi="Times New Roman"/>
            </w:rPr>
          </w:pPr>
          <w:r>
            <w:rPr>
              <w:rFonts w:ascii="Times New Roman" w:eastAsia="Times New Roman" w:hAnsi="Times New Roman"/>
              <w:bCs/>
              <w:sz w:val="20"/>
              <w:szCs w:val="20"/>
            </w:rPr>
            <w:fldChar w:fldCharType="end"/>
          </w:r>
        </w:p>
      </w:sdtContent>
    </w:sdt>
    <w:p w:rsidR="00230A2C" w:rsidRDefault="00230A2C">
      <w:pPr>
        <w:pStyle w:val="afff"/>
        <w:rPr>
          <w:szCs w:val="28"/>
        </w:rPr>
      </w:pPr>
    </w:p>
    <w:p w:rsidR="00230A2C" w:rsidRDefault="00230A2C">
      <w:pPr>
        <w:pStyle w:val="1"/>
        <w:numPr>
          <w:ilvl w:val="0"/>
          <w:numId w:val="0"/>
        </w:numPr>
        <w:spacing w:before="120" w:after="120" w:line="240" w:lineRule="auto"/>
        <w:ind w:firstLine="709"/>
        <w:jc w:val="both"/>
        <w:rPr>
          <w:rFonts w:ascii="Times New Roman" w:hAnsi="Times New Roman"/>
          <w:szCs w:val="28"/>
        </w:rPr>
        <w:sectPr w:rsidR="00230A2C">
          <w:headerReference w:type="default" r:id="rId10"/>
          <w:footerReference w:type="default" r:id="rId11"/>
          <w:pgSz w:w="11906" w:h="16838"/>
          <w:pgMar w:top="1134" w:right="851" w:bottom="1134" w:left="1418" w:header="709" w:footer="709" w:gutter="0"/>
          <w:pgNumType w:start="2"/>
          <w:cols w:space="708"/>
          <w:docGrid w:linePitch="360"/>
        </w:sectPr>
      </w:pPr>
    </w:p>
    <w:p w:rsidR="00230A2C" w:rsidRDefault="00A55E95">
      <w:pPr>
        <w:pStyle w:val="1"/>
        <w:numPr>
          <w:ilvl w:val="0"/>
          <w:numId w:val="14"/>
        </w:numPr>
        <w:spacing w:before="240" w:after="120" w:line="240" w:lineRule="auto"/>
        <w:jc w:val="both"/>
        <w:rPr>
          <w:rFonts w:ascii="Times New Roman" w:hAnsi="Times New Roman"/>
        </w:rPr>
      </w:pPr>
      <w:bookmarkStart w:id="1" w:name="_Toc963901"/>
      <w:bookmarkStart w:id="2" w:name="_Toc109810224"/>
      <w:bookmarkStart w:id="3" w:name="_Toc178597927"/>
      <w:r>
        <w:rPr>
          <w:rFonts w:ascii="Times New Roman" w:eastAsia="Times New Roman" w:hAnsi="Times New Roman"/>
        </w:rPr>
        <w:lastRenderedPageBreak/>
        <w:t>Общие положения</w:t>
      </w:r>
      <w:bookmarkEnd w:id="1"/>
      <w:bookmarkEnd w:id="2"/>
      <w:bookmarkEnd w:id="3"/>
    </w:p>
    <w:p w:rsidR="00230A2C" w:rsidRDefault="00A55E95">
      <w:pPr>
        <w:pStyle w:val="aff9"/>
        <w:rPr>
          <w:rFonts w:ascii="Times New Roman" w:hAnsi="Times New Roman"/>
          <w:szCs w:val="28"/>
        </w:rPr>
      </w:pPr>
      <w:r>
        <w:rPr>
          <w:rFonts w:ascii="Times New Roman" w:eastAsia="Times New Roman" w:hAnsi="Times New Roman"/>
          <w:szCs w:val="28"/>
        </w:rPr>
        <w:t xml:space="preserve">В Положении по управлению процентным риском </w:t>
      </w:r>
      <w:r>
        <w:rPr>
          <w:rFonts w:ascii="Times New Roman" w:eastAsia="Times New Roman" w:hAnsi="Times New Roman"/>
          <w:color w:val="000000"/>
          <w:szCs w:val="28"/>
          <w:highlight w:val="white"/>
        </w:rPr>
        <w:t>ООО «Газпром межрегионгаз Уфа»</w:t>
      </w:r>
      <w:r>
        <w:rPr>
          <w:rFonts w:ascii="Times New Roman" w:eastAsia="Times New Roman" w:hAnsi="Times New Roman"/>
          <w:szCs w:val="28"/>
        </w:rPr>
        <w:t xml:space="preserve"> (далее – Положение) используются сокращения, термины и определения, приведенные в пп. 1.1 и 1.2 Положения.</w:t>
      </w:r>
    </w:p>
    <w:p w:rsidR="00230A2C" w:rsidRDefault="00A55E95">
      <w:pPr>
        <w:pStyle w:val="2"/>
        <w:numPr>
          <w:ilvl w:val="1"/>
          <w:numId w:val="14"/>
        </w:numPr>
        <w:spacing w:before="120"/>
        <w:ind w:left="0" w:firstLine="709"/>
        <w:jc w:val="both"/>
        <w:rPr>
          <w:rFonts w:ascii="Times New Roman" w:hAnsi="Times New Roman"/>
        </w:rPr>
      </w:pPr>
      <w:bookmarkStart w:id="4" w:name="_Toc963902"/>
      <w:bookmarkStart w:id="5" w:name="_Toc109810225"/>
      <w:bookmarkStart w:id="6" w:name="_Toc178597928"/>
      <w:r>
        <w:rPr>
          <w:rFonts w:ascii="Times New Roman" w:eastAsia="Times New Roman" w:hAnsi="Times New Roman"/>
        </w:rPr>
        <w:t>Используемые сокращения</w:t>
      </w:r>
      <w:bookmarkEnd w:id="4"/>
      <w:bookmarkEnd w:id="5"/>
      <w:bookmarkEnd w:id="6"/>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4"/>
        <w:gridCol w:w="6301"/>
      </w:tblGrid>
      <w:tr w:rsidR="00230A2C">
        <w:trPr>
          <w:cantSplit/>
          <w:tblHeader/>
          <w:jc w:val="center"/>
        </w:trPr>
        <w:tc>
          <w:tcPr>
            <w:tcW w:w="1643" w:type="pct"/>
            <w:shd w:val="clear" w:color="auto" w:fill="auto"/>
            <w:vAlign w:val="center"/>
          </w:tcPr>
          <w:p w:rsidR="00230A2C" w:rsidRDefault="00A55E95">
            <w:pPr>
              <w:ind w:firstLine="0"/>
              <w:jc w:val="center"/>
              <w:rPr>
                <w:rFonts w:ascii="Times New Roman" w:hAnsi="Times New Roman"/>
                <w:b/>
                <w:bCs/>
                <w:sz w:val="28"/>
                <w:szCs w:val="28"/>
              </w:rPr>
            </w:pPr>
            <w:r>
              <w:rPr>
                <w:rFonts w:ascii="Times New Roman" w:eastAsia="Times New Roman" w:hAnsi="Times New Roman"/>
                <w:b/>
                <w:bCs/>
                <w:sz w:val="28"/>
                <w:szCs w:val="28"/>
                <w:lang w:eastAsia="ru-RU"/>
              </w:rPr>
              <w:t>Сокращение</w:t>
            </w:r>
          </w:p>
        </w:tc>
        <w:tc>
          <w:tcPr>
            <w:tcW w:w="3357" w:type="pct"/>
            <w:shd w:val="clear" w:color="auto" w:fill="auto"/>
            <w:vAlign w:val="center"/>
          </w:tcPr>
          <w:p w:rsidR="00230A2C" w:rsidRDefault="00A55E95">
            <w:pPr>
              <w:ind w:firstLine="0"/>
              <w:jc w:val="center"/>
              <w:rPr>
                <w:rFonts w:ascii="Times New Roman" w:hAnsi="Times New Roman"/>
                <w:b/>
                <w:bCs/>
                <w:sz w:val="28"/>
                <w:szCs w:val="28"/>
              </w:rPr>
            </w:pPr>
            <w:r>
              <w:rPr>
                <w:rFonts w:ascii="Times New Roman" w:eastAsia="Times New Roman" w:hAnsi="Times New Roman"/>
                <w:b/>
                <w:bCs/>
                <w:sz w:val="28"/>
                <w:szCs w:val="28"/>
                <w:lang w:eastAsia="ru-RU"/>
              </w:rPr>
              <w:t>Полное название</w:t>
            </w:r>
          </w:p>
        </w:tc>
      </w:tr>
      <w:tr w:rsidR="00230A2C">
        <w:trPr>
          <w:cantSplit/>
          <w:jc w:val="center"/>
        </w:trPr>
        <w:tc>
          <w:tcPr>
            <w:tcW w:w="1643"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Группа Газпром межрегионгаз</w:t>
            </w:r>
          </w:p>
        </w:tc>
        <w:tc>
          <w:tcPr>
            <w:tcW w:w="3357"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 xml:space="preserve">ООО «Газпром межрегионгаз» и организации Группы Газпром межрегионгаз </w:t>
            </w:r>
          </w:p>
        </w:tc>
      </w:tr>
      <w:tr w:rsidR="00230A2C">
        <w:trPr>
          <w:cantSplit/>
          <w:jc w:val="center"/>
        </w:trPr>
        <w:tc>
          <w:tcPr>
            <w:tcW w:w="1643"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МРГ</w:t>
            </w:r>
          </w:p>
        </w:tc>
        <w:tc>
          <w:tcPr>
            <w:tcW w:w="3357"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ООО «Газпром межрегионгаз»</w:t>
            </w:r>
          </w:p>
        </w:tc>
      </w:tr>
      <w:tr w:rsidR="00230A2C">
        <w:trPr>
          <w:cantSplit/>
          <w:jc w:val="center"/>
        </w:trPr>
        <w:tc>
          <w:tcPr>
            <w:tcW w:w="1643"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Общество</w:t>
            </w:r>
          </w:p>
        </w:tc>
        <w:tc>
          <w:tcPr>
            <w:tcW w:w="3357" w:type="pct"/>
          </w:tcPr>
          <w:p w:rsidR="00230A2C" w:rsidRDefault="00950FAA">
            <w:pPr>
              <w:ind w:firstLine="0"/>
              <w:rPr>
                <w:rFonts w:ascii="Times New Roman" w:hAnsi="Times New Roman"/>
                <w:sz w:val="32"/>
                <w:szCs w:val="32"/>
              </w:rPr>
            </w:pPr>
            <w:r>
              <w:rPr>
                <w:rFonts w:ascii="Times New Roman" w:eastAsia="Times New Roman" w:hAnsi="Times New Roman"/>
                <w:color w:val="000000"/>
                <w:sz w:val="28"/>
                <w:szCs w:val="28"/>
                <w:highlight w:val="white"/>
              </w:rPr>
              <w:t>ПАО «Газпром газораспределение</w:t>
            </w:r>
            <w:r w:rsidR="00A55E95">
              <w:rPr>
                <w:rFonts w:ascii="Times New Roman" w:eastAsia="Times New Roman" w:hAnsi="Times New Roman"/>
                <w:color w:val="000000"/>
                <w:sz w:val="28"/>
                <w:szCs w:val="28"/>
                <w:highlight w:val="white"/>
              </w:rPr>
              <w:t xml:space="preserve"> Уфа»</w:t>
            </w:r>
          </w:p>
        </w:tc>
      </w:tr>
      <w:tr w:rsidR="00230A2C">
        <w:trPr>
          <w:cantSplit/>
          <w:jc w:val="center"/>
        </w:trPr>
        <w:tc>
          <w:tcPr>
            <w:tcW w:w="1643" w:type="pct"/>
            <w:shd w:val="clear" w:color="auto" w:fill="auto"/>
          </w:tcPr>
          <w:p w:rsidR="00230A2C" w:rsidRDefault="00A55E95">
            <w:pPr>
              <w:ind w:firstLine="0"/>
              <w:rPr>
                <w:rFonts w:ascii="Times New Roman" w:hAnsi="Times New Roman"/>
                <w:sz w:val="28"/>
                <w:szCs w:val="28"/>
              </w:rPr>
            </w:pPr>
            <w:r>
              <w:rPr>
                <w:rFonts w:ascii="Times New Roman" w:eastAsia="Times New Roman" w:hAnsi="Times New Roman"/>
                <w:sz w:val="28"/>
                <w:szCs w:val="28"/>
              </w:rPr>
              <w:t>Политика</w:t>
            </w:r>
          </w:p>
        </w:tc>
        <w:tc>
          <w:tcPr>
            <w:tcW w:w="3357" w:type="pct"/>
          </w:tcPr>
          <w:p w:rsidR="00230A2C" w:rsidRDefault="00A55E95">
            <w:pPr>
              <w:ind w:firstLine="0"/>
              <w:rPr>
                <w:rFonts w:ascii="Times New Roman" w:hAnsi="Times New Roman"/>
                <w:color w:val="000000"/>
                <w:sz w:val="28"/>
                <w:szCs w:val="28"/>
              </w:rPr>
            </w:pPr>
            <w:r>
              <w:rPr>
                <w:rFonts w:ascii="Times New Roman" w:eastAsia="Times New Roman" w:hAnsi="Times New Roman"/>
                <w:sz w:val="28"/>
                <w:szCs w:val="28"/>
                <w:lang w:eastAsia="ru-RU"/>
              </w:rPr>
              <w:t xml:space="preserve">Политика управления рисками и внутреннего контроля Общества </w:t>
            </w:r>
          </w:p>
        </w:tc>
      </w:tr>
      <w:tr w:rsidR="00230A2C">
        <w:trPr>
          <w:cantSplit/>
          <w:jc w:val="center"/>
        </w:trPr>
        <w:tc>
          <w:tcPr>
            <w:tcW w:w="1643" w:type="pct"/>
            <w:shd w:val="clear" w:color="auto" w:fill="auto"/>
          </w:tcPr>
          <w:p w:rsidR="00230A2C" w:rsidRDefault="00A55E95">
            <w:pPr>
              <w:ind w:firstLine="0"/>
              <w:rPr>
                <w:rFonts w:ascii="Times New Roman" w:hAnsi="Times New Roman"/>
                <w:sz w:val="27"/>
                <w:szCs w:val="27"/>
              </w:rPr>
            </w:pPr>
            <w:r>
              <w:rPr>
                <w:rFonts w:ascii="Times New Roman" w:eastAsia="Times New Roman" w:hAnsi="Times New Roman"/>
                <w:sz w:val="28"/>
                <w:szCs w:val="28"/>
              </w:rPr>
              <w:t>ПУРиВК</w:t>
            </w:r>
          </w:p>
        </w:tc>
        <w:tc>
          <w:tcPr>
            <w:tcW w:w="3357" w:type="pct"/>
          </w:tcPr>
          <w:p w:rsidR="00230A2C" w:rsidRDefault="00A55E95">
            <w:pPr>
              <w:ind w:firstLine="0"/>
              <w:rPr>
                <w:rFonts w:ascii="Times New Roman" w:hAnsi="Times New Roman"/>
                <w:sz w:val="27"/>
                <w:szCs w:val="27"/>
              </w:rPr>
            </w:pPr>
            <w:r>
              <w:rPr>
                <w:rFonts w:ascii="Times New Roman" w:eastAsia="Times New Roman" w:hAnsi="Times New Roman"/>
                <w:color w:val="000000"/>
                <w:sz w:val="28"/>
                <w:szCs w:val="28"/>
              </w:rPr>
              <w:t xml:space="preserve">Подразделение по управлению рисками и внутреннему контролю </w:t>
            </w:r>
          </w:p>
        </w:tc>
      </w:tr>
      <w:tr w:rsidR="00230A2C">
        <w:trPr>
          <w:cantSplit/>
          <w:jc w:val="center"/>
        </w:trPr>
        <w:tc>
          <w:tcPr>
            <w:tcW w:w="1643" w:type="pct"/>
            <w:shd w:val="clear" w:color="auto" w:fill="auto"/>
          </w:tcPr>
          <w:p w:rsidR="00230A2C" w:rsidRDefault="00A55E95">
            <w:pPr>
              <w:ind w:firstLine="0"/>
              <w:rPr>
                <w:rFonts w:ascii="Times New Roman" w:hAnsi="Times New Roman"/>
                <w:sz w:val="28"/>
                <w:szCs w:val="28"/>
              </w:rPr>
            </w:pPr>
            <w:r>
              <w:rPr>
                <w:rFonts w:ascii="Times New Roman" w:eastAsia="Times New Roman" w:hAnsi="Times New Roman"/>
                <w:sz w:val="28"/>
                <w:szCs w:val="28"/>
              </w:rPr>
              <w:t>ПФИ</w:t>
            </w:r>
          </w:p>
        </w:tc>
        <w:tc>
          <w:tcPr>
            <w:tcW w:w="3357" w:type="pct"/>
          </w:tcPr>
          <w:p w:rsidR="00230A2C" w:rsidRDefault="00A55E95">
            <w:pPr>
              <w:ind w:firstLine="0"/>
              <w:rPr>
                <w:rFonts w:ascii="Times New Roman" w:hAnsi="Times New Roman"/>
                <w:color w:val="000000"/>
                <w:sz w:val="28"/>
                <w:szCs w:val="28"/>
              </w:rPr>
            </w:pPr>
            <w:r>
              <w:rPr>
                <w:rFonts w:ascii="Times New Roman" w:eastAsia="Times New Roman" w:hAnsi="Times New Roman"/>
                <w:sz w:val="28"/>
                <w:szCs w:val="28"/>
              </w:rPr>
              <w:t xml:space="preserve">Производный финансовый инструмент </w:t>
            </w:r>
          </w:p>
        </w:tc>
      </w:tr>
      <w:tr w:rsidR="00230A2C">
        <w:trPr>
          <w:cantSplit/>
          <w:jc w:val="center"/>
        </w:trPr>
        <w:tc>
          <w:tcPr>
            <w:tcW w:w="1643"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СУРиВК</w:t>
            </w:r>
          </w:p>
        </w:tc>
        <w:tc>
          <w:tcPr>
            <w:tcW w:w="3357"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Система управления рисками и внутреннего контроля</w:t>
            </w:r>
          </w:p>
        </w:tc>
      </w:tr>
      <w:tr w:rsidR="00230A2C">
        <w:trPr>
          <w:cantSplit/>
          <w:jc w:val="center"/>
        </w:trPr>
        <w:tc>
          <w:tcPr>
            <w:tcW w:w="1643"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VaR</w:t>
            </w:r>
          </w:p>
        </w:tc>
        <w:tc>
          <w:tcPr>
            <w:tcW w:w="3357"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Value-at-Risk (стоимость под риском)</w:t>
            </w:r>
          </w:p>
        </w:tc>
      </w:tr>
    </w:tbl>
    <w:p w:rsidR="00230A2C" w:rsidRDefault="00A55E95">
      <w:pPr>
        <w:pStyle w:val="2"/>
        <w:numPr>
          <w:ilvl w:val="1"/>
          <w:numId w:val="14"/>
        </w:numPr>
        <w:spacing w:before="120"/>
        <w:ind w:left="0" w:firstLine="709"/>
        <w:jc w:val="both"/>
        <w:rPr>
          <w:rFonts w:ascii="Times New Roman" w:hAnsi="Times New Roman"/>
        </w:rPr>
      </w:pPr>
      <w:bookmarkStart w:id="7" w:name="_Toc963903"/>
      <w:bookmarkStart w:id="8" w:name="_Toc178597929"/>
      <w:r>
        <w:rPr>
          <w:rFonts w:ascii="Times New Roman" w:eastAsia="Times New Roman" w:hAnsi="Times New Roman"/>
        </w:rPr>
        <w:t>Термины и определения</w:t>
      </w:r>
      <w:bookmarkEnd w:id="7"/>
      <w:bookmarkEnd w:id="8"/>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9"/>
        <w:gridCol w:w="6466"/>
      </w:tblGrid>
      <w:tr w:rsidR="00230A2C">
        <w:trPr>
          <w:cantSplit/>
          <w:tblHeader/>
          <w:jc w:val="center"/>
        </w:trPr>
        <w:tc>
          <w:tcPr>
            <w:tcW w:w="1555" w:type="pct"/>
            <w:shd w:val="clear" w:color="auto" w:fill="auto"/>
            <w:vAlign w:val="center"/>
          </w:tcPr>
          <w:p w:rsidR="00230A2C" w:rsidRDefault="00A55E95">
            <w:pPr>
              <w:ind w:firstLine="0"/>
              <w:jc w:val="center"/>
              <w:rPr>
                <w:rFonts w:ascii="Times New Roman" w:hAnsi="Times New Roman"/>
                <w:b/>
                <w:sz w:val="28"/>
                <w:szCs w:val="28"/>
              </w:rPr>
            </w:pPr>
            <w:r>
              <w:rPr>
                <w:rFonts w:ascii="Times New Roman" w:eastAsia="Times New Roman" w:hAnsi="Times New Roman"/>
                <w:b/>
                <w:sz w:val="28"/>
                <w:szCs w:val="28"/>
              </w:rPr>
              <w:t>Термин</w:t>
            </w:r>
          </w:p>
        </w:tc>
        <w:tc>
          <w:tcPr>
            <w:tcW w:w="3445" w:type="pct"/>
            <w:shd w:val="clear" w:color="auto" w:fill="auto"/>
            <w:vAlign w:val="center"/>
          </w:tcPr>
          <w:p w:rsidR="00230A2C" w:rsidRDefault="00A55E95">
            <w:pPr>
              <w:ind w:firstLine="0"/>
              <w:jc w:val="center"/>
              <w:rPr>
                <w:rFonts w:ascii="Times New Roman" w:hAnsi="Times New Roman"/>
                <w:b/>
                <w:sz w:val="28"/>
                <w:szCs w:val="28"/>
              </w:rPr>
            </w:pPr>
            <w:r>
              <w:rPr>
                <w:rFonts w:ascii="Times New Roman" w:eastAsia="Times New Roman" w:hAnsi="Times New Roman"/>
                <w:b/>
                <w:sz w:val="28"/>
                <w:szCs w:val="28"/>
              </w:rPr>
              <w:t>Определение</w:t>
            </w:r>
          </w:p>
        </w:tc>
      </w:tr>
      <w:tr w:rsidR="00230A2C">
        <w:trPr>
          <w:cantSplit/>
          <w:trHeight w:val="2232"/>
          <w:jc w:val="center"/>
        </w:trPr>
        <w:tc>
          <w:tcPr>
            <w:tcW w:w="1555" w:type="pct"/>
          </w:tcPr>
          <w:p w:rsidR="00230A2C" w:rsidRDefault="00A55E95">
            <w:pPr>
              <w:ind w:firstLine="0"/>
              <w:jc w:val="left"/>
              <w:rPr>
                <w:rFonts w:ascii="Times New Roman" w:hAnsi="Times New Roman"/>
                <w:spacing w:val="-10"/>
                <w:sz w:val="28"/>
                <w:szCs w:val="28"/>
              </w:rPr>
            </w:pPr>
            <w:r>
              <w:rPr>
                <w:rFonts w:ascii="Times New Roman" w:eastAsia="Times New Roman" w:hAnsi="Times New Roman"/>
                <w:sz w:val="28"/>
                <w:szCs w:val="28"/>
                <w:lang w:eastAsia="ru-RU"/>
              </w:rPr>
              <w:t>Валютно-процентный своп</w:t>
            </w:r>
            <w:r>
              <w:rPr>
                <w:rFonts w:ascii="Times New Roman" w:eastAsia="Times New Roman" w:hAnsi="Times New Roman"/>
                <w:b/>
                <w:bCs/>
              </w:rPr>
              <w:t xml:space="preserve"> </w:t>
            </w:r>
          </w:p>
        </w:tc>
        <w:tc>
          <w:tcPr>
            <w:tcW w:w="3445" w:type="pct"/>
          </w:tcPr>
          <w:p w:rsidR="00230A2C" w:rsidRDefault="00A55E95">
            <w:pPr>
              <w:pStyle w:val="17"/>
              <w:widowControl/>
              <w:shd w:val="clear" w:color="auto" w:fill="auto"/>
              <w:ind w:firstLine="0"/>
            </w:pPr>
            <w:r>
              <w:t>Производный финансовый инструмент, представляющий собой сделку, в соответствии с которой стороны договора (соглашения) выплачивают друг другу основные денежные суммы и проценты по долгу в разных валютах в определенные даты в течение срока действия соглашения</w:t>
            </w:r>
          </w:p>
        </w:tc>
      </w:tr>
      <w:tr w:rsidR="00230A2C">
        <w:trPr>
          <w:cantSplit/>
          <w:trHeight w:val="2232"/>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lang w:eastAsia="ru-RU"/>
              </w:rPr>
              <w:t>Владелец процентного риска</w:t>
            </w:r>
          </w:p>
        </w:tc>
        <w:tc>
          <w:tcPr>
            <w:tcW w:w="3445" w:type="pct"/>
          </w:tcPr>
          <w:p w:rsidR="00230A2C" w:rsidRDefault="00A55E95">
            <w:pPr>
              <w:pStyle w:val="17"/>
              <w:widowControl/>
              <w:shd w:val="clear" w:color="auto" w:fill="auto"/>
              <w:ind w:firstLine="0"/>
            </w:pPr>
            <w:r>
              <w:t xml:space="preserve">Структурное подразделение Общества, функционирование которого непосредственно связано с возникновением процентного риска, ответственное за актуализацию сведений о процентном риске, разработку, реализацию и мониторинг исполнения мероприятий по управлению процентным риском </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lang w:eastAsia="ru-RU"/>
              </w:rPr>
              <w:t>Гэп</w:t>
            </w:r>
          </w:p>
        </w:tc>
        <w:tc>
          <w:tcPr>
            <w:tcW w:w="3445" w:type="pct"/>
          </w:tcPr>
          <w:p w:rsidR="00230A2C" w:rsidRDefault="00A55E95">
            <w:pPr>
              <w:pStyle w:val="17"/>
              <w:widowControl/>
              <w:shd w:val="clear" w:color="auto" w:fill="auto"/>
              <w:tabs>
                <w:tab w:val="left" w:pos="0"/>
              </w:tabs>
              <w:ind w:firstLine="0"/>
            </w:pPr>
            <w:r>
              <w:t>Финансовый показатель, определяемый как разница между активами и обязательствами Общества, чувствительными к изменению процентной ставки</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lang w:eastAsia="ru-RU"/>
              </w:rPr>
              <w:t xml:space="preserve">Допустимый уровень процентного риска </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Уровень процентного риска,</w:t>
            </w:r>
            <w:r>
              <w:rPr>
                <w:rFonts w:ascii="Times New Roman" w:eastAsia="Times New Roman" w:hAnsi="Times New Roman"/>
                <w:sz w:val="28"/>
                <w:szCs w:val="28"/>
              </w:rPr>
              <w:t xml:space="preserve"> </w:t>
            </w:r>
            <w:r>
              <w:rPr>
                <w:rFonts w:ascii="Times New Roman" w:eastAsia="Times New Roman" w:hAnsi="Times New Roman"/>
                <w:sz w:val="28"/>
                <w:szCs w:val="28"/>
                <w:lang w:eastAsia="ru-RU"/>
              </w:rPr>
              <w:t>который органы управления Общества считают приемлемым и в результате реализации которого отклонение от поставленной цели не превысит установленный уровень</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lang w:eastAsia="ru-RU"/>
              </w:rPr>
              <w:lastRenderedPageBreak/>
              <w:t xml:space="preserve">Идентификация процентного риска </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 xml:space="preserve">Процесс установления источников процентного риска, событий, приводящих к реализации угроз, исследование их причин и описание возможных последствий </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lang w:eastAsia="ru-RU"/>
              </w:rPr>
              <w:t>Коллегиальный орган</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 xml:space="preserve">Постоянно действующий </w:t>
            </w:r>
            <w:r>
              <w:rPr>
                <w:rFonts w:ascii="Times New Roman" w:eastAsia="Times New Roman" w:hAnsi="Times New Roman"/>
                <w:sz w:val="28"/>
                <w:szCs w:val="28"/>
                <w:lang w:eastAsia="ru-RU"/>
              </w:rPr>
              <w:t xml:space="preserve">комитет ПАО «Газпром», осуществляющий функции, предусмотренные Положением по управлению процентным риском Группы Газпром </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lang w:eastAsia="ru-RU"/>
              </w:rPr>
              <w:t>Лимит на процентный риск (Лимит)</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 xml:space="preserve">Взаимосвязанная иерархическая совокупность показателей, ограничивающих полномочия владельца (совладельца) риска по принятию процентного риска и обеспечивающих условия, при которых уровень процентного риска не превышает величину предельно допустимого уровня риска </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lang w:eastAsia="ru-RU"/>
              </w:rPr>
              <w:t xml:space="preserve">Мероприятия по управлению процентным риском </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Конкретные работы, меры и другая совокупность действий по реализации способов реагирования на процентный риск, осуществляемых с целью обеспечения достаточной уверенности в том, что уровень остаточного риска не превышает предельно допустимый уровень риска</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lang w:eastAsia="ru-RU"/>
              </w:rPr>
              <w:t>Операции хеджирования (хеджирование)</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Операции (совокупность операций) Общества с производными финансовыми инструментами (в том числе разных видов), совершаемые в целях уменьшения (компенсации) неблагоприятных последствий (полностью или частично), обусловленных возникновением убытка, недополучением прибыли, уменьшением выручки, уменьшением рыночной стоимости имущества, включая имущественные права (права требования), увеличением обязательств вследствие изменения цены, процентной ставки, валютного курса, в том числе курса иностранной валюты к валюте Российской Федерации, или иного показателя (совокупности показателей) объекта (объектов) хеджирования</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color w:val="000000"/>
                <w:spacing w:val="-4"/>
                <w:sz w:val="28"/>
                <w:szCs w:val="28"/>
              </w:rPr>
              <w:t xml:space="preserve">Орган управления Общества </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pacing w:val="-6"/>
                <w:sz w:val="28"/>
                <w:szCs w:val="28"/>
              </w:rPr>
              <w:t>Лицо или совокупность лиц Общества, которые в соответствии с </w:t>
            </w:r>
            <w:hyperlink r:id="rId12" w:tooltip="Законодательство" w:history="1">
              <w:r>
                <w:rPr>
                  <w:rFonts w:ascii="Times New Roman" w:eastAsia="Times New Roman" w:hAnsi="Times New Roman"/>
                  <w:spacing w:val="-6"/>
                  <w:sz w:val="28"/>
                  <w:szCs w:val="28"/>
                </w:rPr>
                <w:t>законодательством</w:t>
              </w:r>
            </w:hyperlink>
            <w:r>
              <w:rPr>
                <w:rFonts w:ascii="Times New Roman" w:eastAsia="Times New Roman" w:hAnsi="Times New Roman"/>
                <w:spacing w:val="-6"/>
                <w:sz w:val="28"/>
                <w:szCs w:val="28"/>
              </w:rPr>
              <w:t xml:space="preserve">, учредительными документами Общества либо решением уполномоченного на то органа Общества наделены определенными полномочиями в отношении Общества и через которых Общество осуществляет свою деятельность </w:t>
            </w:r>
          </w:p>
        </w:tc>
      </w:tr>
      <w:tr w:rsidR="00230A2C">
        <w:trPr>
          <w:cantSplit/>
          <w:jc w:val="center"/>
        </w:trPr>
        <w:tc>
          <w:tcPr>
            <w:tcW w:w="1555" w:type="pct"/>
          </w:tcPr>
          <w:p w:rsidR="00230A2C" w:rsidRDefault="00A55E95">
            <w:pPr>
              <w:ind w:firstLine="0"/>
              <w:jc w:val="left"/>
              <w:rPr>
                <w:rFonts w:ascii="Times New Roman" w:hAnsi="Times New Roman"/>
                <w:color w:val="000000"/>
                <w:spacing w:val="-4"/>
                <w:sz w:val="28"/>
                <w:szCs w:val="28"/>
              </w:rPr>
            </w:pPr>
            <w:r>
              <w:rPr>
                <w:rFonts w:ascii="Times New Roman" w:eastAsia="Times New Roman" w:hAnsi="Times New Roman"/>
                <w:sz w:val="28"/>
                <w:szCs w:val="28"/>
                <w:lang w:eastAsia="ru-RU"/>
              </w:rPr>
              <w:lastRenderedPageBreak/>
              <w:t xml:space="preserve">Остаточный риск </w:t>
            </w:r>
          </w:p>
        </w:tc>
        <w:tc>
          <w:tcPr>
            <w:tcW w:w="3445" w:type="pct"/>
          </w:tcPr>
          <w:p w:rsidR="00230A2C" w:rsidRDefault="00A55E95">
            <w:pPr>
              <w:ind w:firstLine="0"/>
              <w:rPr>
                <w:rFonts w:ascii="Times New Roman" w:hAnsi="Times New Roman"/>
                <w:spacing w:val="-6"/>
                <w:sz w:val="28"/>
                <w:szCs w:val="28"/>
              </w:rPr>
            </w:pPr>
            <w:r>
              <w:rPr>
                <w:rFonts w:ascii="Times New Roman" w:eastAsia="Times New Roman" w:hAnsi="Times New Roman"/>
                <w:sz w:val="28"/>
                <w:szCs w:val="28"/>
                <w:lang w:eastAsia="ru-RU"/>
              </w:rPr>
              <w:t xml:space="preserve">Риск, который остается после реализации мероприятий по управлению процентным риском </w:t>
            </w:r>
          </w:p>
        </w:tc>
      </w:tr>
      <w:tr w:rsidR="00230A2C">
        <w:trPr>
          <w:cantSplit/>
          <w:jc w:val="center"/>
        </w:trPr>
        <w:tc>
          <w:tcPr>
            <w:tcW w:w="1555" w:type="pct"/>
          </w:tcPr>
          <w:p w:rsidR="00230A2C" w:rsidRDefault="00A55E95">
            <w:pPr>
              <w:ind w:firstLine="0"/>
              <w:jc w:val="left"/>
              <w:rPr>
                <w:rFonts w:ascii="Times New Roman" w:hAnsi="Times New Roman"/>
                <w:sz w:val="28"/>
                <w:szCs w:val="28"/>
                <w:highlight w:val="yellow"/>
              </w:rPr>
            </w:pPr>
            <w:r>
              <w:rPr>
                <w:rFonts w:ascii="Times New Roman" w:eastAsia="Times New Roman" w:hAnsi="Times New Roman"/>
                <w:sz w:val="28"/>
                <w:szCs w:val="28"/>
              </w:rPr>
              <w:t>Подверженность процентному риску</w:t>
            </w:r>
          </w:p>
        </w:tc>
        <w:tc>
          <w:tcPr>
            <w:tcW w:w="3445" w:type="pct"/>
          </w:tcPr>
          <w:p w:rsidR="00230A2C" w:rsidRDefault="00A55E95">
            <w:pPr>
              <w:pStyle w:val="ConsPlusNormal"/>
              <w:ind w:firstLine="0"/>
              <w:rPr>
                <w:sz w:val="28"/>
                <w:szCs w:val="28"/>
                <w:highlight w:val="yellow"/>
              </w:rPr>
            </w:pPr>
            <w:r>
              <w:rPr>
                <w:rFonts w:eastAsia="Times New Roman"/>
                <w:sz w:val="28"/>
                <w:szCs w:val="28"/>
              </w:rPr>
              <w:t xml:space="preserve">Величина потерь </w:t>
            </w:r>
            <w:r>
              <w:rPr>
                <w:rFonts w:eastAsia="Times New Roman"/>
                <w:spacing w:val="-6"/>
                <w:sz w:val="28"/>
                <w:szCs w:val="28"/>
              </w:rPr>
              <w:t>Общества</w:t>
            </w:r>
            <w:r>
              <w:rPr>
                <w:rFonts w:eastAsia="Times New Roman"/>
                <w:sz w:val="28"/>
                <w:szCs w:val="28"/>
              </w:rPr>
              <w:t xml:space="preserve"> в результате реализации процентного риска</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rPr>
              <w:t xml:space="preserve">Предельно допустимый уровень процентного риска </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Верхняя граница допустимого уровня процентного риска, установленная органом управления ПАО «Газпром»</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rPr>
              <w:t>Процентный риск (рыночный процентный риск)</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Риск возникновения финансовых потерь (убытков), снижения уровня доходов, стоимости активов Общества вследствие изменения процентных ставок</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rPr>
              <w:t>Процентная ставка</w:t>
            </w:r>
          </w:p>
        </w:tc>
        <w:tc>
          <w:tcPr>
            <w:tcW w:w="3445" w:type="pct"/>
          </w:tcPr>
          <w:p w:rsidR="00230A2C" w:rsidRDefault="00A55E95">
            <w:pPr>
              <w:ind w:firstLine="0"/>
              <w:rPr>
                <w:rFonts w:ascii="Times New Roman" w:hAnsi="Times New Roman"/>
                <w:spacing w:val="-6"/>
                <w:sz w:val="28"/>
                <w:szCs w:val="28"/>
              </w:rPr>
            </w:pPr>
            <w:r>
              <w:rPr>
                <w:rFonts w:ascii="Times New Roman" w:eastAsia="Times New Roman" w:hAnsi="Times New Roman"/>
                <w:spacing w:val="-6"/>
                <w:sz w:val="28"/>
                <w:szCs w:val="28"/>
              </w:rPr>
              <w:t>Размер процента, относительная величина процентных платежей, выплачиваемых заемщиком кредитору за определенный период времени (месяц, год)</w:t>
            </w:r>
          </w:p>
        </w:tc>
      </w:tr>
      <w:tr w:rsidR="00230A2C">
        <w:trPr>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rPr>
              <w:t>Производный финансовый инструмент (ПФИ)</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Договор, за исключением договора репо, предусматривающий обязанность сторон или стороны договора периодически или единовременно уплачивать денежные суммы, купить или продать ценные бумаги, валюту или товар либо заключить договор, передать ценные бумаги, валюту или товар в собственность</w:t>
            </w:r>
            <w:r>
              <w:rPr>
                <w:rFonts w:ascii="Times New Roman" w:eastAsia="Times New Roman" w:hAnsi="Times New Roman"/>
              </w:rPr>
              <w:t xml:space="preserve"> </w:t>
            </w:r>
            <w:r>
              <w:rPr>
                <w:rFonts w:ascii="Times New Roman" w:eastAsia="Times New Roman" w:hAnsi="Times New Roman"/>
                <w:sz w:val="28"/>
                <w:szCs w:val="28"/>
              </w:rPr>
              <w:t>другой стороне</w:t>
            </w:r>
          </w:p>
        </w:tc>
      </w:tr>
      <w:tr w:rsidR="00230A2C">
        <w:trPr>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pacing w:val="-6"/>
                <w:sz w:val="28"/>
                <w:szCs w:val="28"/>
              </w:rPr>
              <w:t xml:space="preserve">ПУРиВК Общества </w:t>
            </w:r>
          </w:p>
        </w:tc>
        <w:tc>
          <w:tcPr>
            <w:tcW w:w="3445" w:type="pct"/>
          </w:tcPr>
          <w:p w:rsidR="00230A2C" w:rsidRDefault="00A55E95">
            <w:pPr>
              <w:ind w:firstLine="0"/>
              <w:rPr>
                <w:rFonts w:ascii="Times New Roman" w:hAnsi="Times New Roman"/>
                <w:spacing w:val="-6"/>
                <w:sz w:val="28"/>
                <w:szCs w:val="28"/>
              </w:rPr>
            </w:pPr>
            <w:r>
              <w:rPr>
                <w:rFonts w:ascii="Times New Roman" w:eastAsia="Times New Roman" w:hAnsi="Times New Roman"/>
                <w:spacing w:val="-6"/>
                <w:sz w:val="28"/>
                <w:szCs w:val="28"/>
              </w:rPr>
              <w:t xml:space="preserve">Структурное подразделение Общества формирующее единую политику в области управления рисками и внутреннего контроля ПАО «Газпром», МРГ и Общества, осуществляющее методологическое обеспечение ее реализации, а также взаимодействие со структурными подразделениями Общества по вопросам управления рисками и внутреннего контроля в рамках своей компетенции. </w:t>
            </w:r>
          </w:p>
          <w:p w:rsidR="00230A2C" w:rsidRDefault="00230A2C">
            <w:pPr>
              <w:ind w:firstLine="0"/>
              <w:rPr>
                <w:rFonts w:ascii="Times New Roman" w:hAnsi="Times New Roman"/>
                <w:sz w:val="28"/>
                <w:szCs w:val="28"/>
              </w:rPr>
            </w:pPr>
          </w:p>
        </w:tc>
      </w:tr>
      <w:tr w:rsidR="00230A2C">
        <w:trPr>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rPr>
              <w:t xml:space="preserve">Реагирование на процентный риск </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Совокупность целенаправленных воздействий на процентный риск, реализующих возможные способы (стратегии) реагирования на процентный риск (методы управления процентным риском):</w:t>
            </w:r>
          </w:p>
          <w:p w:rsidR="00230A2C" w:rsidRDefault="00A55E95">
            <w:pPr>
              <w:pStyle w:val="ConsPlusNormal"/>
              <w:ind w:firstLine="425"/>
            </w:pPr>
            <w:r>
              <w:rPr>
                <w:rFonts w:eastAsia="Times New Roman"/>
                <w:sz w:val="28"/>
                <w:szCs w:val="28"/>
              </w:rPr>
              <w:t>- уклонение от процентного риска (избежание/исключение процентного риска), отказ от мероприятий/деятельности, в результате которых возникает процентный риск, полный отказ от потенциальных источников процентного риска;</w:t>
            </w:r>
          </w:p>
          <w:p w:rsidR="00230A2C" w:rsidRDefault="00A55E95">
            <w:pPr>
              <w:pStyle w:val="ConsPlusNormal"/>
              <w:ind w:firstLine="425"/>
            </w:pPr>
            <w:r>
              <w:rPr>
                <w:rFonts w:eastAsia="Times New Roman"/>
                <w:sz w:val="28"/>
                <w:szCs w:val="28"/>
              </w:rPr>
              <w:t>- снижение (сокращение) процентного риска - реализация мероприятий, осуществление действий, направленных на уменьшение уровня процентного риска;</w:t>
            </w:r>
          </w:p>
          <w:p w:rsidR="00230A2C" w:rsidRDefault="00A55E95">
            <w:pPr>
              <w:pStyle w:val="ConsPlusNormal"/>
              <w:ind w:firstLine="425"/>
            </w:pPr>
            <w:r>
              <w:rPr>
                <w:rFonts w:eastAsia="Times New Roman"/>
                <w:sz w:val="28"/>
                <w:szCs w:val="28"/>
              </w:rPr>
              <w:lastRenderedPageBreak/>
              <w:t>- перераспределение (передача) процентного риска – разделение процентного риска с другой стороной или сторонами, страхование;</w:t>
            </w:r>
          </w:p>
          <w:p w:rsidR="00230A2C" w:rsidRDefault="00A55E95">
            <w:pPr>
              <w:pStyle w:val="ConsPlusNormal"/>
              <w:ind w:firstLine="425"/>
              <w:rPr>
                <w:sz w:val="28"/>
                <w:szCs w:val="28"/>
              </w:rPr>
            </w:pPr>
            <w:r>
              <w:rPr>
                <w:rFonts w:eastAsia="Times New Roman"/>
                <w:sz w:val="28"/>
                <w:szCs w:val="28"/>
              </w:rPr>
              <w:t>- принятие (сохранение/удержание) процентного риска – отсутствие действий, применяемых при других способах реагирования на процентный риск, самострахование, хеджирование</w:t>
            </w:r>
          </w:p>
        </w:tc>
      </w:tr>
      <w:tr w:rsidR="00230A2C">
        <w:trPr>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rPr>
              <w:lastRenderedPageBreak/>
              <w:t>Риск-координатор</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 xml:space="preserve">Должностное лицо или структурное подразделение </w:t>
            </w:r>
            <w:r>
              <w:rPr>
                <w:rFonts w:ascii="Times New Roman" w:eastAsia="Times New Roman" w:hAnsi="Times New Roman"/>
                <w:spacing w:val="-6"/>
                <w:sz w:val="28"/>
                <w:szCs w:val="28"/>
              </w:rPr>
              <w:t>Общества</w:t>
            </w:r>
            <w:r>
              <w:rPr>
                <w:rFonts w:ascii="Times New Roman" w:eastAsia="Times New Roman" w:hAnsi="Times New Roman"/>
                <w:sz w:val="28"/>
                <w:szCs w:val="28"/>
              </w:rPr>
              <w:t xml:space="preserve">, за которым в установленном порядке закреплена ответственность за обеспечение текущей методологической поддержки процесса управления рисками, консолидации информации по рискам, формирование и представление отчетности по рискам, координацию взаимодействия участников процесса управления рисками в структурных подразделениях Общества </w:t>
            </w:r>
          </w:p>
        </w:tc>
      </w:tr>
      <w:tr w:rsidR="00230A2C">
        <w:trPr>
          <w:jc w:val="center"/>
        </w:trPr>
        <w:tc>
          <w:tcPr>
            <w:tcW w:w="1555" w:type="pct"/>
          </w:tcPr>
          <w:p w:rsidR="00230A2C" w:rsidRDefault="00A55E95">
            <w:pPr>
              <w:keepNext/>
              <w:keepLines/>
              <w:ind w:firstLine="0"/>
              <w:jc w:val="left"/>
              <w:rPr>
                <w:rFonts w:ascii="Times New Roman" w:hAnsi="Times New Roman"/>
                <w:b/>
                <w:bCs/>
              </w:rPr>
            </w:pPr>
            <w:r>
              <w:rPr>
                <w:rFonts w:ascii="Times New Roman" w:eastAsia="Times New Roman" w:hAnsi="Times New Roman"/>
                <w:sz w:val="28"/>
                <w:szCs w:val="28"/>
              </w:rPr>
              <w:t>Совладелец процентного риска</w:t>
            </w:r>
          </w:p>
        </w:tc>
        <w:tc>
          <w:tcPr>
            <w:tcW w:w="3445" w:type="pct"/>
          </w:tcPr>
          <w:p w:rsidR="00230A2C" w:rsidRDefault="00A55E95">
            <w:pPr>
              <w:keepNext/>
              <w:keepLines/>
              <w:ind w:firstLine="0"/>
              <w:rPr>
                <w:rFonts w:ascii="Times New Roman" w:hAnsi="Times New Roman"/>
              </w:rPr>
            </w:pPr>
            <w:r>
              <w:rPr>
                <w:rFonts w:ascii="Times New Roman" w:eastAsia="Times New Roman" w:hAnsi="Times New Roman"/>
                <w:sz w:val="28"/>
                <w:szCs w:val="28"/>
              </w:rPr>
              <w:t xml:space="preserve">Структурное подразделение </w:t>
            </w:r>
            <w:r>
              <w:rPr>
                <w:rFonts w:ascii="Times New Roman" w:eastAsia="Times New Roman" w:hAnsi="Times New Roman"/>
                <w:spacing w:val="-6"/>
                <w:sz w:val="28"/>
                <w:szCs w:val="28"/>
              </w:rPr>
              <w:t>Общества</w:t>
            </w:r>
            <w:r>
              <w:rPr>
                <w:rFonts w:ascii="Times New Roman" w:eastAsia="Times New Roman" w:hAnsi="Times New Roman"/>
                <w:sz w:val="28"/>
                <w:szCs w:val="28"/>
              </w:rPr>
              <w:t xml:space="preserve">, разделяющее полномочия и ответственность за управление процентным риском с владельцем процентного риска и другими совладельцами процентного риска </w:t>
            </w:r>
          </w:p>
        </w:tc>
      </w:tr>
      <w:tr w:rsidR="00230A2C">
        <w:trPr>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rPr>
              <w:t>Стресс-тестирование</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Совокупность аналитических приемов, позволяющих выявить чувствительность активов обязательств (пассивов) к возможным экстремальным событиям</w:t>
            </w:r>
          </w:p>
        </w:tc>
      </w:tr>
      <w:tr w:rsidR="00230A2C">
        <w:trPr>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rPr>
              <w:t xml:space="preserve">Сценарный анализ </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Методика анализа процентного риска, при которой набор финансовых обстоятельств сравнивается с наиболее вероятными обстоятельствами или обстоятельствами базового состояния</w:t>
            </w:r>
          </w:p>
        </w:tc>
      </w:tr>
      <w:tr w:rsidR="00230A2C">
        <w:trPr>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rPr>
              <w:t xml:space="preserve">Управление процентным риском </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rPr>
              <w:t xml:space="preserve">Систематический процесс, затрагивающий деятельность </w:t>
            </w:r>
            <w:r>
              <w:rPr>
                <w:rFonts w:ascii="Times New Roman" w:eastAsia="Times New Roman" w:hAnsi="Times New Roman"/>
                <w:sz w:val="28"/>
                <w:szCs w:val="28"/>
                <w:lang w:eastAsia="ru-RU"/>
              </w:rPr>
              <w:t xml:space="preserve">Группы Газпром межрегионгаз и обеспечивающий поддержку органу управления </w:t>
            </w:r>
            <w:r>
              <w:rPr>
                <w:rFonts w:ascii="Times New Roman" w:eastAsia="Times New Roman" w:hAnsi="Times New Roman"/>
                <w:sz w:val="28"/>
                <w:szCs w:val="28"/>
              </w:rPr>
              <w:t xml:space="preserve">  </w:t>
            </w:r>
            <w:r>
              <w:rPr>
                <w:rFonts w:ascii="Times New Roman" w:eastAsia="Times New Roman" w:hAnsi="Times New Roman"/>
                <w:spacing w:val="-6"/>
                <w:sz w:val="28"/>
                <w:szCs w:val="28"/>
              </w:rPr>
              <w:t xml:space="preserve">Общества </w:t>
            </w:r>
            <w:r>
              <w:rPr>
                <w:rFonts w:ascii="Times New Roman" w:eastAsia="Times New Roman" w:hAnsi="Times New Roman"/>
                <w:sz w:val="28"/>
                <w:szCs w:val="28"/>
              </w:rPr>
              <w:t xml:space="preserve">в принятии управленческих решений в условиях неопределенности и риска </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rPr>
              <w:t>Финансовый инструмент</w:t>
            </w:r>
          </w:p>
        </w:tc>
        <w:tc>
          <w:tcPr>
            <w:tcW w:w="3445" w:type="pct"/>
          </w:tcPr>
          <w:p w:rsidR="00230A2C" w:rsidRDefault="00A55E95">
            <w:pPr>
              <w:ind w:firstLine="0"/>
              <w:rPr>
                <w:rFonts w:ascii="Times New Roman" w:hAnsi="Times New Roman"/>
                <w:spacing w:val="-6"/>
                <w:sz w:val="28"/>
                <w:szCs w:val="28"/>
              </w:rPr>
            </w:pPr>
            <w:r>
              <w:rPr>
                <w:rFonts w:ascii="Times New Roman" w:eastAsia="Times New Roman" w:hAnsi="Times New Roman"/>
                <w:spacing w:val="-6"/>
                <w:sz w:val="28"/>
                <w:szCs w:val="28"/>
              </w:rPr>
              <w:t>Договор, в результате которого одновременно возникает финансовый актив у одной стороны и финансовое обязательство или долевой инструмент у другой</w:t>
            </w:r>
          </w:p>
        </w:tc>
      </w:tr>
      <w:tr w:rsidR="00230A2C">
        <w:trPr>
          <w:cantSplit/>
          <w:jc w:val="center"/>
        </w:trPr>
        <w:tc>
          <w:tcPr>
            <w:tcW w:w="1555" w:type="pct"/>
          </w:tcPr>
          <w:p w:rsidR="00230A2C" w:rsidRDefault="00A55E95">
            <w:pPr>
              <w:ind w:firstLine="0"/>
              <w:jc w:val="left"/>
              <w:rPr>
                <w:rFonts w:ascii="Times New Roman" w:hAnsi="Times New Roman"/>
                <w:sz w:val="28"/>
                <w:szCs w:val="28"/>
              </w:rPr>
            </w:pPr>
            <w:r>
              <w:rPr>
                <w:rFonts w:ascii="Times New Roman" w:eastAsia="Times New Roman" w:hAnsi="Times New Roman"/>
                <w:sz w:val="28"/>
                <w:szCs w:val="28"/>
                <w:lang w:val="en-US" w:eastAsia="ru-RU"/>
              </w:rPr>
              <w:t>V</w:t>
            </w:r>
            <w:r>
              <w:rPr>
                <w:rFonts w:ascii="Times New Roman" w:eastAsia="Times New Roman" w:hAnsi="Times New Roman"/>
                <w:sz w:val="28"/>
                <w:szCs w:val="28"/>
                <w:lang w:eastAsia="ru-RU"/>
              </w:rPr>
              <w:t>alue-at-Risk (VaR)</w:t>
            </w:r>
          </w:p>
        </w:tc>
        <w:tc>
          <w:tcPr>
            <w:tcW w:w="3445" w:type="pct"/>
          </w:tcPr>
          <w:p w:rsidR="00230A2C" w:rsidRDefault="00A55E95">
            <w:pPr>
              <w:ind w:firstLine="0"/>
              <w:rPr>
                <w:rFonts w:ascii="Times New Roman" w:hAnsi="Times New Roman"/>
                <w:sz w:val="28"/>
                <w:szCs w:val="28"/>
              </w:rPr>
            </w:pPr>
            <w:r>
              <w:rPr>
                <w:rFonts w:ascii="Times New Roman" w:eastAsia="Times New Roman" w:hAnsi="Times New Roman"/>
                <w:sz w:val="28"/>
                <w:szCs w:val="28"/>
                <w:lang w:eastAsia="ru-RU"/>
              </w:rPr>
              <w:t>Количественная мера риска, равная максимальным потерям по данному риску, которые возможны в течение определенного срока (горизонта прогноза) с заданной доверительной вероятностью</w:t>
            </w:r>
          </w:p>
        </w:tc>
      </w:tr>
    </w:tbl>
    <w:p w:rsidR="00230A2C" w:rsidRDefault="00A55E95">
      <w:pPr>
        <w:pStyle w:val="aff0"/>
        <w:spacing w:before="60"/>
        <w:rPr>
          <w:rFonts w:ascii="Times New Roman" w:hAnsi="Times New Roman"/>
          <w:sz w:val="28"/>
          <w:szCs w:val="28"/>
        </w:rPr>
      </w:pPr>
      <w:bookmarkStart w:id="9" w:name="_Toc963904"/>
      <w:r>
        <w:rPr>
          <w:rFonts w:ascii="Times New Roman" w:eastAsia="Times New Roman" w:hAnsi="Times New Roman"/>
          <w:sz w:val="28"/>
          <w:szCs w:val="28"/>
          <w:lang w:eastAsia="ru-RU"/>
        </w:rPr>
        <w:lastRenderedPageBreak/>
        <w:t>Термины, не включенные в настоящий раздел, подлежат применению в значениях, определенных в нормативных документах, приведенных в пп. 1.4 настоящего Положения.</w:t>
      </w:r>
    </w:p>
    <w:p w:rsidR="00230A2C" w:rsidRDefault="00A55E95">
      <w:pPr>
        <w:pStyle w:val="2"/>
        <w:numPr>
          <w:ilvl w:val="1"/>
          <w:numId w:val="14"/>
        </w:numPr>
        <w:spacing w:before="120"/>
        <w:ind w:left="0" w:firstLine="709"/>
        <w:jc w:val="both"/>
        <w:rPr>
          <w:rFonts w:ascii="Times New Roman" w:hAnsi="Times New Roman"/>
        </w:rPr>
      </w:pPr>
      <w:bookmarkStart w:id="10" w:name="_Toc178597930"/>
      <w:r>
        <w:rPr>
          <w:rFonts w:ascii="Times New Roman" w:eastAsia="Times New Roman" w:hAnsi="Times New Roman"/>
        </w:rPr>
        <w:t xml:space="preserve">Цель и задачи </w:t>
      </w:r>
      <w:bookmarkEnd w:id="9"/>
      <w:r>
        <w:rPr>
          <w:rFonts w:ascii="Times New Roman" w:eastAsia="Times New Roman" w:hAnsi="Times New Roman"/>
        </w:rPr>
        <w:t>Положения</w:t>
      </w:r>
      <w:bookmarkEnd w:id="10"/>
    </w:p>
    <w:p w:rsidR="00230A2C" w:rsidRDefault="00A55E95">
      <w:pPr>
        <w:pStyle w:val="afff"/>
        <w:rPr>
          <w:szCs w:val="28"/>
        </w:rPr>
      </w:pPr>
      <w:r>
        <w:rPr>
          <w:szCs w:val="28"/>
        </w:rPr>
        <w:t xml:space="preserve">Целью настоящего Положения является систематизация и обобщение методов и подходов к управлению процентным риском в процессе деятельности </w:t>
      </w:r>
      <w:r>
        <w:rPr>
          <w:spacing w:val="-6"/>
          <w:szCs w:val="28"/>
        </w:rPr>
        <w:t>Общества</w:t>
      </w:r>
      <w:r>
        <w:rPr>
          <w:szCs w:val="28"/>
        </w:rPr>
        <w:t xml:space="preserve">, а также обеспечение нормативной и методологической поддержки работников </w:t>
      </w:r>
      <w:r>
        <w:rPr>
          <w:spacing w:val="-6"/>
          <w:szCs w:val="28"/>
        </w:rPr>
        <w:t>Общества</w:t>
      </w:r>
      <w:r>
        <w:rPr>
          <w:szCs w:val="28"/>
        </w:rPr>
        <w:t xml:space="preserve">, участвующих в процессе управления процентным риском согласно утвержденному в </w:t>
      </w:r>
      <w:r>
        <w:rPr>
          <w:spacing w:val="-6"/>
          <w:szCs w:val="28"/>
        </w:rPr>
        <w:t xml:space="preserve">Общества </w:t>
      </w:r>
      <w:r>
        <w:rPr>
          <w:szCs w:val="28"/>
        </w:rPr>
        <w:t>распределению полномочий и обязанностей.</w:t>
      </w:r>
    </w:p>
    <w:p w:rsidR="00230A2C" w:rsidRDefault="00A55E95">
      <w:pPr>
        <w:pStyle w:val="afff"/>
        <w:rPr>
          <w:szCs w:val="28"/>
        </w:rPr>
      </w:pPr>
      <w:r>
        <w:rPr>
          <w:szCs w:val="28"/>
        </w:rPr>
        <w:t>Для достижения обозначенной цели в рамках настоящего Положения решаются следующие задачи:</w:t>
      </w:r>
    </w:p>
    <w:p w:rsidR="00230A2C" w:rsidRDefault="00A55E95">
      <w:pPr>
        <w:contextualSpacing/>
        <w:rPr>
          <w:rFonts w:ascii="Times New Roman" w:hAnsi="Times New Roman"/>
          <w:sz w:val="28"/>
          <w:szCs w:val="28"/>
        </w:rPr>
      </w:pPr>
      <w:r>
        <w:rPr>
          <w:rFonts w:ascii="Times New Roman" w:eastAsia="Times New Roman" w:hAnsi="Times New Roman"/>
          <w:sz w:val="28"/>
          <w:szCs w:val="28"/>
        </w:rPr>
        <w:t>- уточнение и детализация целей, задач и принципов управления процентным риском как составной части СУРиВК;</w:t>
      </w:r>
    </w:p>
    <w:p w:rsidR="00230A2C" w:rsidRDefault="00A55E95">
      <w:pPr>
        <w:contextualSpacing/>
        <w:rPr>
          <w:rFonts w:ascii="Times New Roman" w:hAnsi="Times New Roman"/>
          <w:sz w:val="28"/>
          <w:szCs w:val="28"/>
        </w:rPr>
      </w:pPr>
      <w:r>
        <w:rPr>
          <w:rFonts w:ascii="Times New Roman" w:eastAsia="Times New Roman" w:hAnsi="Times New Roman"/>
          <w:sz w:val="28"/>
          <w:szCs w:val="28"/>
        </w:rPr>
        <w:t>- закрепление единой методической и терминологической базы;</w:t>
      </w:r>
    </w:p>
    <w:p w:rsidR="00230A2C" w:rsidRDefault="00A55E95">
      <w:pPr>
        <w:contextualSpacing/>
        <w:rPr>
          <w:rFonts w:ascii="Times New Roman" w:hAnsi="Times New Roman"/>
          <w:sz w:val="28"/>
          <w:szCs w:val="28"/>
        </w:rPr>
      </w:pPr>
      <w:r>
        <w:rPr>
          <w:rFonts w:ascii="Times New Roman" w:eastAsia="Times New Roman" w:hAnsi="Times New Roman"/>
          <w:sz w:val="28"/>
          <w:szCs w:val="28"/>
        </w:rPr>
        <w:t>- описание процесса управления процентным риском и детализация задач, решаемых на каждом этапе.</w:t>
      </w:r>
    </w:p>
    <w:p w:rsidR="00230A2C" w:rsidRDefault="00A55E95">
      <w:pPr>
        <w:pStyle w:val="17"/>
        <w:shd w:val="clear" w:color="auto" w:fill="auto"/>
        <w:ind w:firstLine="709"/>
        <w:rPr>
          <w:rFonts w:eastAsiaTheme="minorEastAsia"/>
          <w:color w:val="auto"/>
          <w:highlight w:val="white"/>
        </w:rPr>
      </w:pPr>
      <w:r>
        <w:rPr>
          <w:rFonts w:eastAsiaTheme="minorEastAsia"/>
          <w:color w:val="auto"/>
          <w:highlight w:val="white"/>
          <w:lang w:eastAsia="en-US" w:bidi="ar-SA"/>
        </w:rPr>
        <w:t>Дочерние общества на основе настоящего Положения обеспечивают утверждение локального нормативного акта (положения), регламентирующего порядок управления риском ликвидности в дочернем обществе.</w:t>
      </w:r>
    </w:p>
    <w:p w:rsidR="00230A2C" w:rsidRDefault="00230A2C">
      <w:pPr>
        <w:contextualSpacing/>
        <w:rPr>
          <w:rFonts w:ascii="Times New Roman" w:hAnsi="Times New Roman"/>
          <w:sz w:val="28"/>
          <w:szCs w:val="28"/>
        </w:rPr>
      </w:pPr>
    </w:p>
    <w:p w:rsidR="00230A2C" w:rsidRDefault="00A55E95">
      <w:pPr>
        <w:pStyle w:val="2"/>
        <w:spacing w:before="120"/>
        <w:ind w:firstLine="709"/>
        <w:jc w:val="both"/>
        <w:rPr>
          <w:rFonts w:ascii="Times New Roman" w:hAnsi="Times New Roman"/>
        </w:rPr>
      </w:pPr>
      <w:bookmarkStart w:id="11" w:name="_Toc963906"/>
      <w:bookmarkStart w:id="12" w:name="_Toc178597931"/>
      <w:r>
        <w:rPr>
          <w:rFonts w:ascii="Times New Roman" w:eastAsia="Times New Roman" w:hAnsi="Times New Roman"/>
          <w:szCs w:val="28"/>
        </w:rPr>
        <w:t xml:space="preserve">1.4. </w:t>
      </w:r>
      <w:r>
        <w:rPr>
          <w:rFonts w:ascii="Times New Roman" w:eastAsia="Times New Roman" w:hAnsi="Times New Roman"/>
        </w:rPr>
        <w:t>Нормативные документы</w:t>
      </w:r>
      <w:bookmarkEnd w:id="11"/>
      <w:bookmarkEnd w:id="12"/>
    </w:p>
    <w:p w:rsidR="00230A2C" w:rsidRDefault="00A55E95">
      <w:pPr>
        <w:rPr>
          <w:rFonts w:ascii="Times New Roman" w:hAnsi="Times New Roman"/>
          <w:sz w:val="28"/>
          <w:szCs w:val="28"/>
        </w:rPr>
      </w:pPr>
      <w:bookmarkStart w:id="13" w:name="_Toc963907"/>
      <w:r>
        <w:rPr>
          <w:rFonts w:ascii="Times New Roman" w:eastAsia="Times New Roman" w:hAnsi="Times New Roman"/>
          <w:sz w:val="28"/>
          <w:szCs w:val="28"/>
        </w:rPr>
        <w:t>Настоящее Положение учитывает требования нормативных правовых актов Российской Федерации, нормативных документов ПАО</w:t>
      </w:r>
      <w:r>
        <w:rPr>
          <w:rFonts w:ascii="Times New Roman" w:eastAsia="Times New Roman" w:hAnsi="Times New Roman"/>
          <w:spacing w:val="-6"/>
          <w:sz w:val="28"/>
          <w:szCs w:val="28"/>
          <w:lang w:eastAsia="ru-RU"/>
        </w:rPr>
        <w:t> </w:t>
      </w:r>
      <w:r>
        <w:rPr>
          <w:rFonts w:ascii="Times New Roman" w:eastAsia="Times New Roman" w:hAnsi="Times New Roman"/>
          <w:sz w:val="28"/>
          <w:szCs w:val="28"/>
        </w:rPr>
        <w:t>«Газпром», Общества.</w:t>
      </w:r>
    </w:p>
    <w:p w:rsidR="00230A2C" w:rsidRDefault="00A55E95">
      <w:pPr>
        <w:rPr>
          <w:rFonts w:ascii="Times New Roman" w:hAnsi="Times New Roman"/>
          <w:spacing w:val="-4"/>
          <w:sz w:val="28"/>
          <w:szCs w:val="28"/>
        </w:rPr>
      </w:pPr>
      <w:r>
        <w:rPr>
          <w:rFonts w:ascii="Times New Roman" w:eastAsia="Times New Roman" w:hAnsi="Times New Roman"/>
          <w:spacing w:val="-4"/>
          <w:sz w:val="28"/>
          <w:szCs w:val="28"/>
        </w:rPr>
        <w:t xml:space="preserve">В частности, Положение разработано с учетом положений и требований: </w:t>
      </w:r>
    </w:p>
    <w:p w:rsidR="00230A2C" w:rsidRDefault="00A55E95">
      <w:pPr>
        <w:rPr>
          <w:rFonts w:ascii="Times New Roman" w:hAnsi="Times New Roman"/>
          <w:spacing w:val="-6"/>
          <w:sz w:val="28"/>
          <w:szCs w:val="28"/>
        </w:rPr>
      </w:pPr>
      <w:r>
        <w:rPr>
          <w:rFonts w:ascii="Times New Roman" w:eastAsia="Times New Roman" w:hAnsi="Times New Roman"/>
          <w:spacing w:val="-6"/>
          <w:sz w:val="28"/>
          <w:szCs w:val="28"/>
        </w:rPr>
        <w:t>- Международных и российских стандартов в области управления рисками</w:t>
      </w:r>
      <w:r>
        <w:rPr>
          <w:rStyle w:val="aff2"/>
          <w:rFonts w:ascii="Times New Roman" w:eastAsia="Times New Roman" w:hAnsi="Times New Roman"/>
          <w:spacing w:val="-6"/>
          <w:sz w:val="28"/>
          <w:szCs w:val="28"/>
        </w:rPr>
        <w:footnoteReference w:id="1"/>
      </w:r>
      <w:r>
        <w:rPr>
          <w:rFonts w:ascii="Times New Roman" w:eastAsia="Times New Roman" w:hAnsi="Times New Roman"/>
          <w:spacing w:val="-6"/>
          <w:sz w:val="28"/>
          <w:szCs w:val="28"/>
        </w:rPr>
        <w:t>;</w:t>
      </w:r>
    </w:p>
    <w:p w:rsidR="00230A2C" w:rsidRDefault="00A55E95">
      <w:pPr>
        <w:contextualSpacing/>
        <w:rPr>
          <w:rFonts w:ascii="Times New Roman" w:hAnsi="Times New Roman"/>
          <w:sz w:val="28"/>
          <w:szCs w:val="28"/>
        </w:rPr>
      </w:pPr>
      <w:r>
        <w:rPr>
          <w:rFonts w:ascii="Times New Roman" w:eastAsia="Times New Roman" w:hAnsi="Times New Roman"/>
          <w:sz w:val="28"/>
          <w:szCs w:val="28"/>
        </w:rPr>
        <w:t>- Политики управления рисками и внутреннего контроля ПАО</w:t>
      </w:r>
      <w:r>
        <w:rPr>
          <w:rFonts w:ascii="Times New Roman" w:eastAsia="Times New Roman" w:hAnsi="Times New Roman"/>
          <w:spacing w:val="-6"/>
          <w:sz w:val="28"/>
          <w:szCs w:val="28"/>
          <w:lang w:eastAsia="ru-RU"/>
        </w:rPr>
        <w:t> </w:t>
      </w:r>
      <w:r>
        <w:rPr>
          <w:rFonts w:ascii="Times New Roman" w:eastAsia="Times New Roman" w:hAnsi="Times New Roman"/>
          <w:sz w:val="28"/>
          <w:szCs w:val="28"/>
        </w:rPr>
        <w:t>«Газпром»;</w:t>
      </w:r>
    </w:p>
    <w:p w:rsidR="00230A2C" w:rsidRDefault="00A55E95">
      <w:pPr>
        <w:tabs>
          <w:tab w:val="left" w:pos="992"/>
        </w:tabs>
        <w:rPr>
          <w:rFonts w:ascii="Times New Roman" w:hAnsi="Times New Roman"/>
          <w:sz w:val="28"/>
          <w:szCs w:val="28"/>
        </w:rPr>
      </w:pPr>
      <w:r>
        <w:rPr>
          <w:rFonts w:ascii="Times New Roman" w:eastAsia="Times New Roman" w:hAnsi="Times New Roman"/>
          <w:sz w:val="28"/>
          <w:szCs w:val="28"/>
          <w:lang w:eastAsia="ru-RU"/>
        </w:rPr>
        <w:t>- Положения по управлению процентным риском Группы Газпром;</w:t>
      </w:r>
    </w:p>
    <w:p w:rsidR="00230A2C" w:rsidRDefault="00A55E95">
      <w:pPr>
        <w:tabs>
          <w:tab w:val="left" w:pos="992"/>
        </w:tabs>
        <w:rPr>
          <w:rFonts w:ascii="Times New Roman" w:hAnsi="Times New Roman"/>
          <w:sz w:val="28"/>
          <w:szCs w:val="28"/>
        </w:rPr>
      </w:pPr>
      <w:r>
        <w:rPr>
          <w:rFonts w:ascii="Times New Roman" w:eastAsia="Times New Roman" w:hAnsi="Times New Roman"/>
          <w:sz w:val="28"/>
          <w:szCs w:val="28"/>
        </w:rPr>
        <w:t>- </w:t>
      </w:r>
      <w:r>
        <w:rPr>
          <w:rFonts w:ascii="Times New Roman" w:eastAsia="Times New Roman" w:hAnsi="Times New Roman"/>
          <w:sz w:val="28"/>
          <w:szCs w:val="28"/>
          <w:lang w:eastAsia="ru-RU"/>
        </w:rPr>
        <w:t>Методических рекомендаций по управлению рисками с использованием качественных оценок ПАО «Газпром»;</w:t>
      </w:r>
    </w:p>
    <w:p w:rsidR="00230A2C" w:rsidRDefault="00A55E95">
      <w:pPr>
        <w:tabs>
          <w:tab w:val="left" w:pos="992"/>
        </w:tabs>
        <w:rPr>
          <w:rFonts w:ascii="Times New Roman" w:hAnsi="Times New Roman"/>
          <w:sz w:val="28"/>
          <w:szCs w:val="28"/>
        </w:rPr>
      </w:pPr>
      <w:r>
        <w:rPr>
          <w:rFonts w:ascii="Times New Roman" w:eastAsia="Times New Roman" w:hAnsi="Times New Roman"/>
          <w:sz w:val="28"/>
          <w:szCs w:val="28"/>
          <w:lang w:eastAsia="ru-RU"/>
        </w:rPr>
        <w:t>- Политики управления рисками и внутреннего контроля ООО</w:t>
      </w:r>
      <w:r>
        <w:rPr>
          <w:rFonts w:ascii="Times New Roman" w:eastAsia="Times New Roman" w:hAnsi="Times New Roman"/>
          <w:spacing w:val="-6"/>
          <w:sz w:val="28"/>
          <w:szCs w:val="28"/>
          <w:lang w:eastAsia="ru-RU"/>
        </w:rPr>
        <w:t> </w:t>
      </w:r>
      <w:r>
        <w:rPr>
          <w:rFonts w:ascii="Times New Roman" w:eastAsia="Times New Roman" w:hAnsi="Times New Roman"/>
          <w:sz w:val="28"/>
          <w:szCs w:val="28"/>
          <w:lang w:eastAsia="ru-RU"/>
        </w:rPr>
        <w:t>«Газпром межрегионгаз» и организаций, входящих в группу лиц ООО</w:t>
      </w:r>
      <w:r>
        <w:rPr>
          <w:rFonts w:ascii="Times New Roman" w:eastAsia="Times New Roman" w:hAnsi="Times New Roman"/>
          <w:spacing w:val="-6"/>
          <w:sz w:val="28"/>
          <w:szCs w:val="28"/>
          <w:lang w:eastAsia="ru-RU"/>
        </w:rPr>
        <w:t> </w:t>
      </w:r>
      <w:r>
        <w:rPr>
          <w:rFonts w:ascii="Times New Roman" w:eastAsia="Times New Roman" w:hAnsi="Times New Roman"/>
          <w:sz w:val="28"/>
          <w:szCs w:val="28"/>
          <w:lang w:eastAsia="ru-RU"/>
        </w:rPr>
        <w:t>«Газпром межрегионгаз»;</w:t>
      </w:r>
    </w:p>
    <w:p w:rsidR="00230A2C" w:rsidRDefault="00A55E95">
      <w:pPr>
        <w:tabs>
          <w:tab w:val="left" w:pos="992"/>
        </w:tabs>
        <w:rPr>
          <w:rFonts w:ascii="Times New Roman" w:hAnsi="Times New Roman"/>
          <w:sz w:val="28"/>
          <w:szCs w:val="28"/>
        </w:rPr>
      </w:pPr>
      <w:r>
        <w:rPr>
          <w:rFonts w:ascii="Times New Roman" w:eastAsia="Times New Roman" w:hAnsi="Times New Roman"/>
          <w:sz w:val="28"/>
          <w:szCs w:val="28"/>
          <w:lang w:eastAsia="ru-RU"/>
        </w:rPr>
        <w:t>- Положения об управлении финансовыми рисками ООО «Газпром межрегионгаз» (далее – Положение УФР);</w:t>
      </w:r>
    </w:p>
    <w:p w:rsidR="00230A2C" w:rsidRDefault="00A55E95">
      <w:pPr>
        <w:tabs>
          <w:tab w:val="left" w:pos="992"/>
        </w:tabs>
        <w:rPr>
          <w:rFonts w:ascii="Times New Roman" w:hAnsi="Times New Roman"/>
          <w:sz w:val="28"/>
          <w:szCs w:val="28"/>
        </w:rPr>
      </w:pPr>
      <w:r>
        <w:rPr>
          <w:rFonts w:ascii="Times New Roman" w:eastAsia="Times New Roman" w:hAnsi="Times New Roman"/>
          <w:sz w:val="28"/>
          <w:szCs w:val="28"/>
          <w:lang w:eastAsia="ru-RU"/>
        </w:rPr>
        <w:t>- Политики.</w:t>
      </w:r>
    </w:p>
    <w:p w:rsidR="00230A2C" w:rsidRDefault="00A55E95">
      <w:pPr>
        <w:pStyle w:val="2"/>
        <w:spacing w:before="120"/>
        <w:ind w:firstLine="709"/>
        <w:jc w:val="both"/>
        <w:rPr>
          <w:rFonts w:ascii="Times New Roman" w:hAnsi="Times New Roman"/>
          <w:szCs w:val="28"/>
        </w:rPr>
      </w:pPr>
      <w:bookmarkStart w:id="14" w:name="_Toc178597932"/>
      <w:r>
        <w:rPr>
          <w:rFonts w:ascii="Times New Roman" w:eastAsia="Times New Roman" w:hAnsi="Times New Roman"/>
          <w:szCs w:val="28"/>
        </w:rPr>
        <w:lastRenderedPageBreak/>
        <w:t xml:space="preserve">1.5. Порядок изменения </w:t>
      </w:r>
      <w:bookmarkEnd w:id="13"/>
      <w:r>
        <w:rPr>
          <w:rFonts w:ascii="Times New Roman" w:eastAsia="Times New Roman" w:hAnsi="Times New Roman"/>
          <w:szCs w:val="28"/>
        </w:rPr>
        <w:t>Положения</w:t>
      </w:r>
      <w:bookmarkEnd w:id="14"/>
    </w:p>
    <w:p w:rsidR="00230A2C" w:rsidRDefault="00A55E95">
      <w:pPr>
        <w:pStyle w:val="14"/>
        <w:tabs>
          <w:tab w:val="left" w:pos="1276"/>
        </w:tabs>
        <w:ind w:left="0" w:firstLine="709"/>
        <w:rPr>
          <w:rFonts w:cs="Times New Roman"/>
        </w:rPr>
      </w:pPr>
      <w:bookmarkStart w:id="15" w:name="_Toc963908"/>
      <w:r>
        <w:rPr>
          <w:rFonts w:cs="Times New Roman"/>
          <w:szCs w:val="28"/>
          <w:lang w:eastAsia="de-DE"/>
        </w:rPr>
        <w:t>Основаниями для внесения уточнений, изменений и дополнений в настоящее Положение являются</w:t>
      </w:r>
      <w:r>
        <w:rPr>
          <w:rFonts w:cs="Times New Roman"/>
        </w:rPr>
        <w:t>:</w:t>
      </w:r>
    </w:p>
    <w:p w:rsidR="00230A2C" w:rsidRDefault="00A55E95">
      <w:pPr>
        <w:pStyle w:val="14"/>
        <w:tabs>
          <w:tab w:val="left" w:pos="1276"/>
        </w:tabs>
        <w:ind w:left="0" w:firstLine="709"/>
        <w:rPr>
          <w:rFonts w:cs="Times New Roman"/>
        </w:rPr>
      </w:pPr>
      <w:r>
        <w:rPr>
          <w:rFonts w:cs="Times New Roman"/>
        </w:rPr>
        <w:t>-  изменение законодательства Российской Федерации, повлекшее возникновение противоречий между настоящим Положением и законодательством Российской Федерации;</w:t>
      </w:r>
    </w:p>
    <w:p w:rsidR="00230A2C" w:rsidRDefault="00A55E95">
      <w:pPr>
        <w:pStyle w:val="14"/>
        <w:tabs>
          <w:tab w:val="left" w:pos="1276"/>
        </w:tabs>
        <w:ind w:left="0" w:firstLine="709"/>
        <w:rPr>
          <w:rFonts w:cs="Times New Roman"/>
        </w:rPr>
      </w:pPr>
      <w:r>
        <w:rPr>
          <w:rFonts w:cs="Times New Roman"/>
        </w:rPr>
        <w:t xml:space="preserve">- изменение нормативных документов ПАО «Газпром», МРГ, внутренних распорядительных и нормативных документов </w:t>
      </w:r>
      <w:r>
        <w:rPr>
          <w:rFonts w:cs="Times New Roman"/>
          <w:szCs w:val="28"/>
        </w:rPr>
        <w:t>Общества</w:t>
      </w:r>
      <w:r>
        <w:rPr>
          <w:rFonts w:cs="Times New Roman"/>
        </w:rPr>
        <w:t xml:space="preserve">, повлекшее возникновение противоречий между настоящим Положением и нормативными документами ПАО «Газпром», МРГ или локальными нормативными документами </w:t>
      </w:r>
      <w:r>
        <w:rPr>
          <w:rFonts w:cs="Times New Roman"/>
          <w:szCs w:val="28"/>
        </w:rPr>
        <w:t>Общества</w:t>
      </w:r>
      <w:r>
        <w:rPr>
          <w:rFonts w:cs="Times New Roman"/>
        </w:rPr>
        <w:t>;</w:t>
      </w:r>
    </w:p>
    <w:p w:rsidR="00230A2C" w:rsidRDefault="00A55E95">
      <w:pPr>
        <w:pStyle w:val="affe"/>
        <w:tabs>
          <w:tab w:val="left" w:pos="709"/>
        </w:tabs>
        <w:ind w:firstLine="709"/>
        <w:rPr>
          <w:rFonts w:ascii="Times New Roman" w:hAnsi="Times New Roman"/>
          <w:sz w:val="28"/>
          <w:szCs w:val="28"/>
        </w:rPr>
      </w:pPr>
      <w:r>
        <w:rPr>
          <w:rFonts w:ascii="Times New Roman" w:eastAsia="Times New Roman" w:hAnsi="Times New Roman"/>
          <w:sz w:val="28"/>
          <w:szCs w:val="28"/>
        </w:rPr>
        <w:t>- </w:t>
      </w:r>
      <w:r>
        <w:rPr>
          <w:rFonts w:ascii="Times New Roman" w:eastAsia="Times New Roman" w:hAnsi="Times New Roman"/>
          <w:sz w:val="28"/>
          <w:szCs w:val="28"/>
          <w:lang w:eastAsia="ru-RU"/>
        </w:rPr>
        <w:t xml:space="preserve">изменение состава или полномочий и ответственности работников </w:t>
      </w:r>
      <w:r>
        <w:rPr>
          <w:rFonts w:ascii="Times New Roman" w:eastAsia="Times New Roman" w:hAnsi="Times New Roman"/>
          <w:sz w:val="28"/>
          <w:szCs w:val="28"/>
        </w:rPr>
        <w:t>Общества</w:t>
      </w:r>
      <w:r>
        <w:rPr>
          <w:rFonts w:ascii="Times New Roman" w:eastAsia="Times New Roman" w:hAnsi="Times New Roman"/>
          <w:sz w:val="28"/>
          <w:szCs w:val="28"/>
          <w:lang w:eastAsia="ru-RU"/>
        </w:rPr>
        <w:t xml:space="preserve">, принимающих участие в процессе управления процентным </w:t>
      </w:r>
      <w:r>
        <w:rPr>
          <w:rFonts w:ascii="Times New Roman" w:eastAsia="Times New Roman" w:hAnsi="Times New Roman"/>
          <w:sz w:val="28"/>
          <w:szCs w:val="28"/>
        </w:rPr>
        <w:t>риском согласно утвержденному в Обществе распределению полномочий и обязанностей;</w:t>
      </w:r>
    </w:p>
    <w:p w:rsidR="00230A2C" w:rsidRDefault="00A55E95">
      <w:pPr>
        <w:pStyle w:val="affe"/>
        <w:tabs>
          <w:tab w:val="left" w:pos="992"/>
        </w:tabs>
        <w:ind w:firstLine="709"/>
        <w:rPr>
          <w:rFonts w:ascii="Times New Roman" w:hAnsi="Times New Roman"/>
          <w:sz w:val="28"/>
          <w:szCs w:val="28"/>
        </w:rPr>
      </w:pPr>
      <w:r>
        <w:rPr>
          <w:rFonts w:ascii="Times New Roman" w:eastAsia="Times New Roman" w:hAnsi="Times New Roman"/>
          <w:sz w:val="28"/>
          <w:szCs w:val="28"/>
        </w:rPr>
        <w:t>- </w:t>
      </w:r>
      <w:r>
        <w:rPr>
          <w:rFonts w:ascii="Times New Roman" w:eastAsia="Times New Roman" w:hAnsi="Times New Roman"/>
          <w:sz w:val="28"/>
          <w:szCs w:val="28"/>
          <w:lang w:eastAsia="ru-RU"/>
        </w:rPr>
        <w:t>выявление в рамках оценки эффективности управления процентным риском необходимости совершенствования методологии или изменения процесса управления процентным риском.</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 xml:space="preserve">Контроль за соблюдением Положения, поддержанием его в актуальном состоянии, а также разрешением спорных вопросов в рамках управления процентным риском осуществляет ПУРиВК </w:t>
      </w:r>
      <w:r>
        <w:rPr>
          <w:rFonts w:ascii="Times New Roman" w:eastAsia="Times New Roman" w:hAnsi="Times New Roman"/>
          <w:sz w:val="28"/>
          <w:szCs w:val="28"/>
        </w:rPr>
        <w:t>Общества</w:t>
      </w:r>
      <w:r>
        <w:rPr>
          <w:rFonts w:ascii="Times New Roman" w:eastAsia="Times New Roman" w:hAnsi="Times New Roman"/>
          <w:sz w:val="28"/>
          <w:szCs w:val="28"/>
          <w:lang w:eastAsia="de-DE"/>
        </w:rPr>
        <w:t>.</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 xml:space="preserve">Настоящее Положение утверждается, изменяется и признается утратившим силу согласно установленному в </w:t>
      </w:r>
      <w:r>
        <w:rPr>
          <w:rFonts w:ascii="Times New Roman" w:eastAsia="Times New Roman" w:hAnsi="Times New Roman"/>
          <w:sz w:val="28"/>
          <w:szCs w:val="28"/>
        </w:rPr>
        <w:t xml:space="preserve">Обществе </w:t>
      </w:r>
      <w:r>
        <w:rPr>
          <w:rFonts w:ascii="Times New Roman" w:eastAsia="Times New Roman" w:hAnsi="Times New Roman"/>
          <w:sz w:val="28"/>
          <w:szCs w:val="28"/>
          <w:lang w:eastAsia="de-DE"/>
        </w:rPr>
        <w:t>порядку.</w:t>
      </w:r>
    </w:p>
    <w:p w:rsidR="00230A2C" w:rsidRDefault="00A55E95">
      <w:pPr>
        <w:pStyle w:val="1"/>
        <w:numPr>
          <w:ilvl w:val="0"/>
          <w:numId w:val="14"/>
        </w:numPr>
        <w:spacing w:before="240" w:after="120" w:line="240" w:lineRule="auto"/>
        <w:ind w:left="1066" w:hanging="357"/>
        <w:jc w:val="both"/>
        <w:rPr>
          <w:rFonts w:ascii="Times New Roman" w:hAnsi="Times New Roman"/>
        </w:rPr>
      </w:pPr>
      <w:bookmarkStart w:id="16" w:name="_Toc178597933"/>
      <w:r>
        <w:rPr>
          <w:rFonts w:ascii="Times New Roman" w:eastAsia="Times New Roman" w:hAnsi="Times New Roman"/>
        </w:rPr>
        <w:t>Процесс управления процентным риск</w:t>
      </w:r>
      <w:bookmarkEnd w:id="15"/>
      <w:r>
        <w:rPr>
          <w:rFonts w:ascii="Times New Roman" w:eastAsia="Times New Roman" w:hAnsi="Times New Roman"/>
        </w:rPr>
        <w:t>ом</w:t>
      </w:r>
      <w:bookmarkEnd w:id="16"/>
    </w:p>
    <w:p w:rsidR="00230A2C" w:rsidRDefault="00A55E95">
      <w:pPr>
        <w:pStyle w:val="2"/>
        <w:numPr>
          <w:ilvl w:val="1"/>
          <w:numId w:val="14"/>
        </w:numPr>
        <w:spacing w:before="120"/>
        <w:ind w:left="0" w:firstLine="709"/>
        <w:jc w:val="both"/>
        <w:rPr>
          <w:rFonts w:ascii="Times New Roman" w:hAnsi="Times New Roman"/>
        </w:rPr>
      </w:pPr>
      <w:bookmarkStart w:id="17" w:name="_Toc448410364"/>
      <w:bookmarkStart w:id="18" w:name="_Toc448410365"/>
      <w:bookmarkStart w:id="19" w:name="_Toc448410366"/>
      <w:bookmarkStart w:id="20" w:name="_Toc178597934"/>
      <w:bookmarkStart w:id="21" w:name="_Toc963909"/>
      <w:bookmarkEnd w:id="17"/>
      <w:bookmarkEnd w:id="18"/>
      <w:bookmarkEnd w:id="19"/>
      <w:r>
        <w:rPr>
          <w:rFonts w:ascii="Times New Roman" w:eastAsia="Times New Roman" w:hAnsi="Times New Roman"/>
        </w:rPr>
        <w:t>Цели и задачи управления процентным риском</w:t>
      </w:r>
      <w:bookmarkEnd w:id="20"/>
      <w:r>
        <w:rPr>
          <w:rFonts w:ascii="Times New Roman" w:eastAsia="Times New Roman" w:hAnsi="Times New Roman"/>
        </w:rPr>
        <w:t xml:space="preserve"> </w:t>
      </w:r>
      <w:bookmarkEnd w:id="21"/>
    </w:p>
    <w:p w:rsidR="00230A2C" w:rsidRDefault="00A55E95">
      <w:pPr>
        <w:rPr>
          <w:rFonts w:ascii="Times New Roman" w:hAnsi="Times New Roman"/>
          <w:sz w:val="28"/>
          <w:szCs w:val="28"/>
        </w:rPr>
      </w:pPr>
      <w:r>
        <w:rPr>
          <w:rFonts w:ascii="Times New Roman" w:eastAsia="Times New Roman" w:hAnsi="Times New Roman"/>
          <w:sz w:val="28"/>
          <w:szCs w:val="28"/>
          <w:lang w:eastAsia="de-DE"/>
        </w:rPr>
        <w:t>2.1.1. Управление процентным риском способствует достижению целей и решению задач СУРиВК, определенных в Политике и Положении УФР.</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 xml:space="preserve">2.1.2. Целью управления процентным риском также является обеспечение достижения целей и решения задач </w:t>
      </w:r>
      <w:r>
        <w:rPr>
          <w:rFonts w:ascii="Times New Roman" w:eastAsia="Times New Roman" w:hAnsi="Times New Roman"/>
          <w:sz w:val="28"/>
          <w:szCs w:val="28"/>
        </w:rPr>
        <w:t>Общества</w:t>
      </w:r>
      <w:r>
        <w:rPr>
          <w:rFonts w:ascii="Times New Roman" w:eastAsia="Times New Roman" w:hAnsi="Times New Roman"/>
          <w:sz w:val="28"/>
          <w:szCs w:val="28"/>
          <w:lang w:eastAsia="de-DE"/>
        </w:rPr>
        <w:t xml:space="preserve">, снижение потерь (убытков) в условиях изменений процентных ставок по активам и пассивам </w:t>
      </w:r>
      <w:r>
        <w:rPr>
          <w:rFonts w:ascii="Times New Roman" w:eastAsia="Times New Roman" w:hAnsi="Times New Roman"/>
          <w:sz w:val="28"/>
          <w:szCs w:val="28"/>
        </w:rPr>
        <w:t>Общества</w:t>
      </w:r>
      <w:r>
        <w:rPr>
          <w:rFonts w:ascii="Times New Roman" w:eastAsia="Times New Roman" w:hAnsi="Times New Roman"/>
          <w:sz w:val="28"/>
          <w:szCs w:val="28"/>
          <w:lang w:eastAsia="de-DE"/>
        </w:rPr>
        <w:t xml:space="preserve"> под воздействием внутренних и внешних факторов процентного риска. </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2.1.3. Цель управления процентным риском достигается посредством решения следующих задач:</w:t>
      </w:r>
    </w:p>
    <w:p w:rsidR="00230A2C" w:rsidRDefault="00A55E95">
      <w:pPr>
        <w:pStyle w:val="17"/>
        <w:widowControl/>
        <w:shd w:val="clear" w:color="auto" w:fill="auto"/>
        <w:ind w:firstLine="709"/>
      </w:pPr>
      <w:r>
        <w:rPr>
          <w:lang w:eastAsia="de-DE"/>
        </w:rPr>
        <w:t>2.1.3.1.</w:t>
      </w:r>
      <w:r>
        <w:t xml:space="preserve"> Распределение функций между участниками управления процентным риском. </w:t>
      </w:r>
    </w:p>
    <w:p w:rsidR="00230A2C" w:rsidRDefault="00A55E95">
      <w:pPr>
        <w:pStyle w:val="17"/>
        <w:widowControl/>
        <w:shd w:val="clear" w:color="auto" w:fill="auto"/>
        <w:ind w:firstLine="709"/>
      </w:pPr>
      <w:r>
        <w:t>2.1.3.2. Определение порядка принятия решений при управлении процентным риском.</w:t>
      </w:r>
    </w:p>
    <w:p w:rsidR="00230A2C" w:rsidRDefault="00A55E95">
      <w:pPr>
        <w:pStyle w:val="17"/>
        <w:widowControl/>
        <w:shd w:val="clear" w:color="auto" w:fill="auto"/>
        <w:ind w:firstLine="709"/>
      </w:pPr>
      <w:r>
        <w:t>2.1.3.3. Оценка (измерение) процентного риска, определение значимости его уровня.</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 xml:space="preserve">2.1.3.4. Установление взаимосвязей между процентным риском и другими рисками с целью оценки воздействия мероприятий по управлению процентным риском на уровень других рисков. </w:t>
      </w:r>
    </w:p>
    <w:p w:rsidR="00230A2C" w:rsidRDefault="00A55E95">
      <w:pPr>
        <w:rPr>
          <w:rFonts w:ascii="Times New Roman" w:hAnsi="Times New Roman"/>
          <w:color w:val="000000"/>
          <w:sz w:val="28"/>
          <w:szCs w:val="28"/>
        </w:rPr>
      </w:pPr>
      <w:r>
        <w:rPr>
          <w:rFonts w:ascii="Times New Roman" w:eastAsia="Times New Roman" w:hAnsi="Times New Roman"/>
          <w:color w:val="000000"/>
          <w:sz w:val="28"/>
          <w:szCs w:val="28"/>
          <w:lang w:eastAsia="ru-RU" w:bidi="ru-RU"/>
        </w:rPr>
        <w:lastRenderedPageBreak/>
        <w:t xml:space="preserve">2.1.3.5. Ограничение (минимизация) финансовых потерь </w:t>
      </w:r>
      <w:r>
        <w:rPr>
          <w:rFonts w:ascii="Times New Roman" w:eastAsia="Times New Roman" w:hAnsi="Times New Roman"/>
          <w:sz w:val="28"/>
          <w:szCs w:val="28"/>
        </w:rPr>
        <w:t>Общества вследствие реализации процентного риска.</w:t>
      </w:r>
    </w:p>
    <w:p w:rsidR="00230A2C" w:rsidRDefault="00A55E95">
      <w:pPr>
        <w:pStyle w:val="17"/>
        <w:widowControl/>
        <w:shd w:val="clear" w:color="auto" w:fill="auto"/>
        <w:ind w:firstLine="720"/>
      </w:pPr>
      <w:r>
        <w:t>2.1.3.6. Разработка, совершенствование методологии управления процентным риском.</w:t>
      </w:r>
    </w:p>
    <w:p w:rsidR="00230A2C" w:rsidRDefault="00A55E95">
      <w:pPr>
        <w:pStyle w:val="17"/>
        <w:widowControl/>
        <w:shd w:val="clear" w:color="auto" w:fill="auto"/>
        <w:ind w:firstLine="709"/>
      </w:pPr>
      <w:r>
        <w:rPr>
          <w:lang w:eastAsia="de-DE"/>
        </w:rPr>
        <w:t>2.1.3.7. </w:t>
      </w:r>
      <w:r>
        <w:t>Установление лимитов на процентный риск, постоянный мониторинг и контроль за их соблюдением.</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2.1.3.8. Оперативное реагирование на изменение факторов процентного риска,</w:t>
      </w:r>
      <w:r>
        <w:rPr>
          <w:rFonts w:ascii="Times New Roman" w:eastAsia="Times New Roman" w:hAnsi="Times New Roman"/>
        </w:rPr>
        <w:t xml:space="preserve"> </w:t>
      </w:r>
      <w:r>
        <w:rPr>
          <w:rFonts w:ascii="Times New Roman" w:eastAsia="Times New Roman" w:hAnsi="Times New Roman"/>
          <w:sz w:val="28"/>
          <w:szCs w:val="28"/>
          <w:lang w:eastAsia="de-DE"/>
        </w:rPr>
        <w:t>разработка и выполнение мероприятий по управлению процентным риском (мероприятий по смягчению последствий реализации процентного риска).</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2.1.3.9. Интегрирование процесса управления процентным риском в бизнес-процессы Общества.</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 xml:space="preserve">2.1.3.10. Развитие культуры управления рисками в Обществе </w:t>
      </w:r>
      <w:r>
        <w:rPr>
          <w:rFonts w:ascii="Times New Roman" w:eastAsia="Times New Roman" w:hAnsi="Times New Roman"/>
          <w:sz w:val="28"/>
          <w:szCs w:val="28"/>
        </w:rPr>
        <w:t>в области управления процентным риском</w:t>
      </w:r>
      <w:r>
        <w:rPr>
          <w:rFonts w:ascii="Times New Roman" w:eastAsia="Times New Roman" w:hAnsi="Times New Roman"/>
          <w:sz w:val="28"/>
          <w:szCs w:val="28"/>
          <w:lang w:eastAsia="de-DE"/>
        </w:rPr>
        <w:t>.</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2.1.3.11. Внедрение автоматизированных программных решений по управлению процентным риском.</w:t>
      </w:r>
    </w:p>
    <w:p w:rsidR="00230A2C" w:rsidRDefault="00A55E95">
      <w:pPr>
        <w:pStyle w:val="2"/>
        <w:numPr>
          <w:ilvl w:val="1"/>
          <w:numId w:val="14"/>
        </w:numPr>
        <w:spacing w:before="120"/>
        <w:ind w:left="0" w:firstLine="709"/>
        <w:jc w:val="both"/>
        <w:rPr>
          <w:rFonts w:ascii="Times New Roman" w:hAnsi="Times New Roman"/>
        </w:rPr>
      </w:pPr>
      <w:bookmarkStart w:id="22" w:name="_Toc963910"/>
      <w:bookmarkStart w:id="23" w:name="_Toc178597935"/>
      <w:r>
        <w:rPr>
          <w:rFonts w:ascii="Times New Roman" w:eastAsia="Times New Roman" w:hAnsi="Times New Roman"/>
        </w:rPr>
        <w:t xml:space="preserve">Принципы </w:t>
      </w:r>
      <w:bookmarkEnd w:id="22"/>
      <w:r>
        <w:rPr>
          <w:rFonts w:ascii="Times New Roman" w:eastAsia="Times New Roman" w:hAnsi="Times New Roman"/>
        </w:rPr>
        <w:t>управления процентным риском</w:t>
      </w:r>
      <w:bookmarkEnd w:id="23"/>
      <w:r>
        <w:rPr>
          <w:rFonts w:ascii="Times New Roman" w:eastAsia="Times New Roman" w:hAnsi="Times New Roman"/>
        </w:rPr>
        <w:t xml:space="preserve"> </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Дополнительно к основным принципам управления рисками, определенным в Политике и Положении УФР, настоящим Положением устанавливаются следующие принципы управления процентным риском:</w:t>
      </w:r>
    </w:p>
    <w:p w:rsidR="00230A2C" w:rsidRDefault="00A55E95">
      <w:pPr>
        <w:pStyle w:val="a"/>
        <w:numPr>
          <w:ilvl w:val="2"/>
          <w:numId w:val="14"/>
        </w:numPr>
        <w:ind w:left="0" w:firstLine="709"/>
        <w:rPr>
          <w:rFonts w:ascii="Times New Roman" w:hAnsi="Times New Roman"/>
          <w:szCs w:val="28"/>
        </w:rPr>
      </w:pPr>
      <w:r>
        <w:rPr>
          <w:rFonts w:ascii="Times New Roman" w:eastAsia="Times New Roman" w:hAnsi="Times New Roman"/>
          <w:szCs w:val="28"/>
          <w:lang w:eastAsia="de-DE"/>
        </w:rPr>
        <w:t>Централизация функции управления процентным риском Группы Газпром на уровне ПАО «Газпром».</w:t>
      </w:r>
    </w:p>
    <w:p w:rsidR="00230A2C" w:rsidRDefault="00A55E95">
      <w:pPr>
        <w:pStyle w:val="a"/>
        <w:numPr>
          <w:ilvl w:val="2"/>
          <w:numId w:val="14"/>
        </w:numPr>
        <w:ind w:left="0" w:firstLine="709"/>
        <w:rPr>
          <w:rFonts w:ascii="Times New Roman" w:hAnsi="Times New Roman"/>
          <w:szCs w:val="28"/>
        </w:rPr>
      </w:pPr>
      <w:r>
        <w:rPr>
          <w:rFonts w:ascii="Times New Roman" w:eastAsia="Times New Roman" w:hAnsi="Times New Roman"/>
          <w:szCs w:val="28"/>
          <w:lang w:eastAsia="de-DE"/>
        </w:rPr>
        <w:t>Принцип разделения обязанностей – разграничение функций между работниками (структурными подразделениями) ПАО «Газпром», МРГ и Общества</w:t>
      </w:r>
      <w:r>
        <w:rPr>
          <w:rFonts w:ascii="Times New Roman" w:eastAsia="Times New Roman" w:hAnsi="Times New Roman"/>
          <w:szCs w:val="28"/>
        </w:rPr>
        <w:t xml:space="preserve"> </w:t>
      </w:r>
      <w:r>
        <w:rPr>
          <w:rFonts w:ascii="Times New Roman" w:eastAsia="Times New Roman" w:hAnsi="Times New Roman"/>
          <w:szCs w:val="28"/>
          <w:lang w:eastAsia="de-DE"/>
        </w:rPr>
        <w:t>для исключения совмещения одним лицом (структурным подразделением) функций авторизации (получение работниками разрешения на совершение операции), совершения, учета операций с определенными активами и контроля за их исполнением, а также разделение функций между ПАО «Газпром», МРГ и Обществом в процессе управления процентным риском.</w:t>
      </w:r>
    </w:p>
    <w:p w:rsidR="00230A2C" w:rsidRDefault="00A55E95">
      <w:pPr>
        <w:pStyle w:val="17"/>
        <w:widowControl/>
        <w:numPr>
          <w:ilvl w:val="2"/>
          <w:numId w:val="14"/>
        </w:numPr>
        <w:shd w:val="clear" w:color="auto" w:fill="auto"/>
        <w:ind w:left="0" w:firstLine="709"/>
      </w:pPr>
      <w:r>
        <w:t>Обеспечение «трех линий защиты»</w:t>
      </w:r>
      <w:r>
        <w:rPr>
          <w:rStyle w:val="aff2"/>
        </w:rPr>
        <w:footnoteReference w:id="2"/>
      </w:r>
      <w:r>
        <w:t xml:space="preserve"> – управление процентным риском в </w:t>
      </w:r>
      <w:r>
        <w:rPr>
          <w:lang w:eastAsia="de-DE"/>
        </w:rPr>
        <w:t xml:space="preserve">Обществе </w:t>
      </w:r>
      <w:r>
        <w:t xml:space="preserve">осуществляется на уровнях владельцев процентного риска </w:t>
      </w:r>
      <w:r>
        <w:rPr>
          <w:lang w:eastAsia="de-DE"/>
        </w:rPr>
        <w:t>Общества</w:t>
      </w:r>
      <w:r>
        <w:t xml:space="preserve">, ПУРиВК </w:t>
      </w:r>
      <w:r>
        <w:rPr>
          <w:lang w:eastAsia="de-DE"/>
        </w:rPr>
        <w:t>Общества</w:t>
      </w:r>
      <w:r>
        <w:t xml:space="preserve"> и подразделений (работников) внутреннего аудита </w:t>
      </w:r>
      <w:r>
        <w:rPr>
          <w:lang w:eastAsia="de-DE"/>
        </w:rPr>
        <w:t>Общества</w:t>
      </w:r>
      <w:r>
        <w:t>.</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lastRenderedPageBreak/>
        <w:t>2.2.4. Интеграция в бизнес-процессы – управление процентным риском является неотъемлемой частью бизнес-процессов Общества, в том числе принятия управленческих решений.</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2.2.5. Осведомленность и вовлеченность – руководители и иные работники Общества, принимающие участие в управлении процентным риском и соответствующих бизнес-процессах Общества, должны быть своевременно проинформированы о процентном риске.</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2.2.6 Предотвращение, выявление и управление конфликтом интересов - необходимость реализации комплекса мероприятий по предотвращению, выявлению и управлению конфликтом интересов при реализации бизнес- процессов, связанных с управлением процентным риском, в том числе посредством разделения полномочий.</w:t>
      </w:r>
    </w:p>
    <w:p w:rsidR="00230A2C" w:rsidRDefault="00A55E95">
      <w:pPr>
        <w:rPr>
          <w:rFonts w:ascii="Times New Roman" w:hAnsi="Times New Roman"/>
          <w:sz w:val="28"/>
          <w:szCs w:val="28"/>
        </w:rPr>
      </w:pPr>
      <w:r>
        <w:rPr>
          <w:rFonts w:ascii="Times New Roman" w:eastAsia="Times New Roman" w:hAnsi="Times New Roman"/>
          <w:sz w:val="28"/>
          <w:szCs w:val="28"/>
          <w:lang w:eastAsia="de-DE"/>
        </w:rPr>
        <w:t>2.2.7. Обучение и мотивация – необходимость прохождения работниками Общества, вовлеченными в процесс управления процентным риском, обучения современным стандартам и практикам управления процентным риском и применение мер мотивации, стимулирующих таких работников эффективно выполнять обязанности по управлению процентным риском.</w:t>
      </w:r>
    </w:p>
    <w:p w:rsidR="00230A2C" w:rsidRDefault="00A55E95">
      <w:pPr>
        <w:pStyle w:val="17"/>
        <w:widowControl/>
        <w:shd w:val="clear" w:color="auto" w:fill="auto"/>
        <w:ind w:firstLine="709"/>
      </w:pPr>
      <w:r>
        <w:t>2.2.8. Учет, анализ, адаптация и внедрение передовых российских и международных подходов к управлению процентным риском;</w:t>
      </w:r>
    </w:p>
    <w:p w:rsidR="00230A2C" w:rsidRDefault="00A55E95">
      <w:pPr>
        <w:pStyle w:val="17"/>
        <w:widowControl/>
        <w:shd w:val="clear" w:color="auto" w:fill="auto"/>
        <w:ind w:firstLine="709"/>
      </w:pPr>
      <w:r>
        <w:t>2.2.9. Запрет любых транзакций с производными финансовыми инструментами в спекулятивных целях.</w:t>
      </w:r>
    </w:p>
    <w:p w:rsidR="00230A2C" w:rsidRDefault="00A55E95">
      <w:pPr>
        <w:pStyle w:val="2"/>
        <w:numPr>
          <w:ilvl w:val="1"/>
          <w:numId w:val="14"/>
        </w:numPr>
        <w:spacing w:before="120"/>
        <w:ind w:left="0" w:firstLine="709"/>
        <w:jc w:val="both"/>
        <w:rPr>
          <w:rFonts w:ascii="Times New Roman" w:hAnsi="Times New Roman"/>
        </w:rPr>
      </w:pPr>
      <w:bookmarkStart w:id="24" w:name="_Toc178597936"/>
      <w:r>
        <w:rPr>
          <w:rFonts w:ascii="Times New Roman" w:eastAsia="Times New Roman" w:hAnsi="Times New Roman"/>
        </w:rPr>
        <w:t>Участники управления процентным риском. Распределение полномочий</w:t>
      </w:r>
      <w:bookmarkEnd w:id="24"/>
    </w:p>
    <w:p w:rsidR="00230A2C" w:rsidRDefault="00A55E95">
      <w:pPr>
        <w:pStyle w:val="a"/>
        <w:numPr>
          <w:ilvl w:val="2"/>
          <w:numId w:val="14"/>
        </w:numPr>
        <w:ind w:left="0" w:firstLine="709"/>
        <w:rPr>
          <w:rFonts w:ascii="Times New Roman" w:hAnsi="Times New Roman"/>
          <w:szCs w:val="28"/>
        </w:rPr>
      </w:pPr>
      <w:r>
        <w:rPr>
          <w:rFonts w:ascii="Times New Roman" w:eastAsia="Times New Roman" w:hAnsi="Times New Roman"/>
          <w:szCs w:val="28"/>
        </w:rPr>
        <w:t>Перечень участников управления процентным риском, распределение функций и полномочий между участниками управления процентным риском Общества должны соответствовать требованиям Политики, Положения УФР и Положения по управлению процентным риском Группы Газпром.</w:t>
      </w:r>
    </w:p>
    <w:p w:rsidR="00230A2C" w:rsidRDefault="00A55E95">
      <w:pPr>
        <w:rPr>
          <w:rFonts w:ascii="Times New Roman" w:hAnsi="Times New Roman"/>
          <w:sz w:val="28"/>
          <w:szCs w:val="28"/>
        </w:rPr>
      </w:pPr>
      <w:r>
        <w:rPr>
          <w:rFonts w:ascii="Times New Roman" w:eastAsia="Times New Roman" w:hAnsi="Times New Roman"/>
          <w:sz w:val="28"/>
          <w:szCs w:val="28"/>
        </w:rPr>
        <w:t xml:space="preserve">Основными участниками процесса управления процентным риском </w:t>
      </w:r>
      <w:r>
        <w:rPr>
          <w:rFonts w:ascii="Times New Roman" w:eastAsia="Times New Roman" w:hAnsi="Times New Roman"/>
          <w:sz w:val="28"/>
          <w:szCs w:val="28"/>
          <w:lang w:eastAsia="de-DE"/>
        </w:rPr>
        <w:t xml:space="preserve">Общества </w:t>
      </w:r>
      <w:r>
        <w:rPr>
          <w:rFonts w:ascii="Times New Roman" w:eastAsia="Times New Roman" w:hAnsi="Times New Roman"/>
          <w:sz w:val="28"/>
          <w:szCs w:val="28"/>
        </w:rPr>
        <w:t>являются:</w:t>
      </w:r>
    </w:p>
    <w:p w:rsidR="00230A2C" w:rsidRDefault="00A55E95">
      <w:pPr>
        <w:rPr>
          <w:rFonts w:ascii="Times New Roman" w:hAnsi="Times New Roman"/>
          <w:sz w:val="28"/>
          <w:szCs w:val="28"/>
        </w:rPr>
      </w:pPr>
      <w:r>
        <w:rPr>
          <w:rFonts w:ascii="Times New Roman" w:eastAsia="Times New Roman" w:hAnsi="Times New Roman"/>
          <w:sz w:val="28"/>
          <w:szCs w:val="28"/>
        </w:rPr>
        <w:t>- орган управления (Совет директоров/генеральный директор в соответствии с уставом Общества);</w:t>
      </w:r>
    </w:p>
    <w:p w:rsidR="00230A2C" w:rsidRDefault="00A55E95">
      <w:pPr>
        <w:rPr>
          <w:rFonts w:ascii="Times New Roman" w:hAnsi="Times New Roman"/>
          <w:sz w:val="28"/>
          <w:szCs w:val="28"/>
        </w:rPr>
      </w:pPr>
      <w:r>
        <w:rPr>
          <w:rFonts w:ascii="Times New Roman" w:eastAsia="Times New Roman" w:hAnsi="Times New Roman"/>
          <w:sz w:val="28"/>
          <w:szCs w:val="28"/>
        </w:rPr>
        <w:t>- владелец процентного риска;</w:t>
      </w:r>
    </w:p>
    <w:p w:rsidR="00230A2C" w:rsidRDefault="00A55E95">
      <w:pPr>
        <w:rPr>
          <w:rFonts w:ascii="Times New Roman" w:hAnsi="Times New Roman"/>
          <w:sz w:val="28"/>
          <w:szCs w:val="28"/>
        </w:rPr>
      </w:pPr>
      <w:r>
        <w:rPr>
          <w:rFonts w:ascii="Times New Roman" w:eastAsia="Times New Roman" w:hAnsi="Times New Roman"/>
          <w:sz w:val="28"/>
          <w:szCs w:val="28"/>
        </w:rPr>
        <w:t>- совладельцы процентного риска;</w:t>
      </w:r>
    </w:p>
    <w:p w:rsidR="00230A2C" w:rsidRDefault="00A55E95">
      <w:pPr>
        <w:rPr>
          <w:rFonts w:ascii="Times New Roman" w:hAnsi="Times New Roman"/>
          <w:sz w:val="28"/>
          <w:szCs w:val="28"/>
        </w:rPr>
      </w:pPr>
      <w:r>
        <w:rPr>
          <w:rFonts w:ascii="Times New Roman" w:eastAsia="Times New Roman" w:hAnsi="Times New Roman"/>
          <w:sz w:val="28"/>
          <w:szCs w:val="28"/>
        </w:rPr>
        <w:t>- ПУРиВК Общества;</w:t>
      </w:r>
    </w:p>
    <w:p w:rsidR="00230A2C" w:rsidRDefault="00A55E95">
      <w:pPr>
        <w:rPr>
          <w:rFonts w:ascii="Times New Roman" w:hAnsi="Times New Roman"/>
          <w:sz w:val="28"/>
          <w:szCs w:val="28"/>
        </w:rPr>
      </w:pPr>
      <w:r>
        <w:rPr>
          <w:rFonts w:ascii="Times New Roman" w:eastAsia="Times New Roman" w:hAnsi="Times New Roman"/>
          <w:sz w:val="28"/>
          <w:szCs w:val="28"/>
        </w:rPr>
        <w:t>- подразделение (работник) внутреннего аудита Общества;</w:t>
      </w:r>
    </w:p>
    <w:p w:rsidR="00230A2C" w:rsidRDefault="00A55E95">
      <w:pPr>
        <w:rPr>
          <w:rFonts w:ascii="Times New Roman" w:hAnsi="Times New Roman"/>
          <w:sz w:val="28"/>
          <w:szCs w:val="28"/>
        </w:rPr>
      </w:pPr>
      <w:r>
        <w:rPr>
          <w:rFonts w:ascii="Times New Roman" w:eastAsia="Times New Roman" w:hAnsi="Times New Roman"/>
          <w:sz w:val="28"/>
          <w:szCs w:val="28"/>
        </w:rPr>
        <w:t>- риск-координаторы по процентному риску.</w:t>
      </w:r>
    </w:p>
    <w:p w:rsidR="00230A2C" w:rsidRDefault="00A55E95">
      <w:pPr>
        <w:rPr>
          <w:rFonts w:ascii="Times New Roman" w:hAnsi="Times New Roman"/>
          <w:sz w:val="28"/>
          <w:szCs w:val="28"/>
        </w:rPr>
      </w:pPr>
      <w:r>
        <w:rPr>
          <w:rFonts w:ascii="Times New Roman" w:eastAsia="Times New Roman" w:hAnsi="Times New Roman"/>
          <w:sz w:val="28"/>
          <w:szCs w:val="28"/>
        </w:rPr>
        <w:t xml:space="preserve">Функции и полномочия органа управления </w:t>
      </w:r>
      <w:r>
        <w:rPr>
          <w:rFonts w:ascii="Times New Roman" w:eastAsia="Times New Roman" w:hAnsi="Times New Roman"/>
          <w:color w:val="000000"/>
          <w:spacing w:val="-4"/>
          <w:sz w:val="28"/>
          <w:szCs w:val="28"/>
        </w:rPr>
        <w:t>Общества</w:t>
      </w:r>
      <w:r>
        <w:rPr>
          <w:rFonts w:ascii="Times New Roman" w:eastAsia="Times New Roman" w:hAnsi="Times New Roman"/>
          <w:sz w:val="28"/>
          <w:szCs w:val="28"/>
        </w:rPr>
        <w:t>, ПУРиВК</w:t>
      </w:r>
      <w:r>
        <w:rPr>
          <w:rFonts w:ascii="Times New Roman" w:eastAsia="Times New Roman" w:hAnsi="Times New Roman"/>
        </w:rPr>
        <w:t xml:space="preserve"> </w:t>
      </w:r>
      <w:r>
        <w:rPr>
          <w:rFonts w:ascii="Times New Roman" w:eastAsia="Times New Roman" w:hAnsi="Times New Roman"/>
          <w:sz w:val="28"/>
          <w:szCs w:val="28"/>
        </w:rPr>
        <w:t>Общества, подразделения (работника) внутреннего аудита Общества в области управления рисками и внутреннего контроля определены локальными нормативными актами Общества в области управления рисками и внутреннего контроля.</w:t>
      </w:r>
    </w:p>
    <w:p w:rsidR="00230A2C" w:rsidRDefault="00A55E95">
      <w:pPr>
        <w:pStyle w:val="a"/>
        <w:numPr>
          <w:ilvl w:val="2"/>
          <w:numId w:val="14"/>
        </w:numPr>
        <w:ind w:left="0" w:firstLine="709"/>
        <w:rPr>
          <w:rFonts w:ascii="Times New Roman" w:hAnsi="Times New Roman"/>
          <w:szCs w:val="28"/>
        </w:rPr>
      </w:pPr>
      <w:r>
        <w:rPr>
          <w:rFonts w:ascii="Times New Roman" w:eastAsia="Times New Roman" w:hAnsi="Times New Roman"/>
          <w:szCs w:val="28"/>
        </w:rPr>
        <w:t>Владелец процентного риска выполняет следующие основные функции:</w:t>
      </w:r>
    </w:p>
    <w:p w:rsidR="00230A2C" w:rsidRDefault="00A55E95">
      <w:pPr>
        <w:rPr>
          <w:rFonts w:ascii="Times New Roman" w:hAnsi="Times New Roman"/>
          <w:color w:val="000000"/>
          <w:sz w:val="28"/>
          <w:szCs w:val="28"/>
        </w:rPr>
      </w:pPr>
      <w:r>
        <w:rPr>
          <w:rFonts w:ascii="Times New Roman" w:eastAsia="Times New Roman" w:hAnsi="Times New Roman"/>
          <w:color w:val="000000"/>
          <w:sz w:val="28"/>
          <w:szCs w:val="28"/>
          <w:lang w:eastAsia="ru-RU" w:bidi="ru-RU"/>
        </w:rPr>
        <w:lastRenderedPageBreak/>
        <w:t>- разрабатывает и поддерживает в актуальном состоянии документы в области управления процентным риском Общества;</w:t>
      </w:r>
    </w:p>
    <w:p w:rsidR="00230A2C" w:rsidRDefault="00A55E95">
      <w:pPr>
        <w:pStyle w:val="17"/>
        <w:widowControl/>
        <w:shd w:val="clear" w:color="auto" w:fill="auto"/>
        <w:ind w:firstLine="740"/>
      </w:pPr>
      <w:r>
        <w:t>- проводит идентификацию процентного риска;</w:t>
      </w:r>
    </w:p>
    <w:p w:rsidR="00230A2C" w:rsidRDefault="00A55E95">
      <w:pPr>
        <w:pStyle w:val="17"/>
        <w:widowControl/>
        <w:shd w:val="clear" w:color="auto" w:fill="auto"/>
        <w:ind w:firstLine="709"/>
      </w:pPr>
      <w:r>
        <w:t xml:space="preserve">- разрабатывает и актуализирует сценарии стресс-тестирования; </w:t>
      </w:r>
    </w:p>
    <w:p w:rsidR="00230A2C" w:rsidRDefault="00A55E95">
      <w:pPr>
        <w:pStyle w:val="17"/>
        <w:widowControl/>
        <w:shd w:val="clear" w:color="auto" w:fill="auto"/>
        <w:ind w:firstLine="709"/>
      </w:pPr>
      <w:r>
        <w:t>- оценивает (измеряет) процентный риск;</w:t>
      </w:r>
    </w:p>
    <w:p w:rsidR="00230A2C" w:rsidRDefault="00A55E95">
      <w:pPr>
        <w:pStyle w:val="17"/>
        <w:widowControl/>
        <w:shd w:val="clear" w:color="auto" w:fill="auto"/>
        <w:ind w:firstLine="709"/>
        <w:rPr>
          <w:spacing w:val="-4"/>
        </w:rPr>
      </w:pPr>
      <w:r>
        <w:rPr>
          <w:spacing w:val="-4"/>
        </w:rPr>
        <w:t xml:space="preserve">- разрабатывает </w:t>
      </w:r>
      <w:r>
        <w:t xml:space="preserve">(на основании утвержденного Советом директоров ПАО «Газпром» предельно допустимого уровня процентного риска) </w:t>
      </w:r>
      <w:r>
        <w:rPr>
          <w:spacing w:val="-4"/>
        </w:rPr>
        <w:t>предложения по допустимому уровню и предельно допустимому уровню процентного риска, передает их на рассмотрение органам управления Общества и ПУРиВК МРГ;</w:t>
      </w:r>
    </w:p>
    <w:p w:rsidR="00230A2C" w:rsidRDefault="00A55E95">
      <w:pPr>
        <w:pStyle w:val="17"/>
        <w:widowControl/>
        <w:shd w:val="clear" w:color="auto" w:fill="auto"/>
        <w:ind w:firstLine="709"/>
      </w:pPr>
      <w:r>
        <w:rPr>
          <w:spacing w:val="-4"/>
        </w:rPr>
        <w:t>- формирует предложения по распределению лимитов на процентный риск</w:t>
      </w:r>
      <w:r>
        <w:t>;</w:t>
      </w:r>
    </w:p>
    <w:p w:rsidR="00230A2C" w:rsidRDefault="00A55E95">
      <w:pPr>
        <w:pStyle w:val="17"/>
        <w:widowControl/>
        <w:shd w:val="clear" w:color="auto" w:fill="auto"/>
        <w:ind w:firstLine="709"/>
      </w:pPr>
      <w:r>
        <w:t xml:space="preserve">- осуществляет мониторинг соблюдения лимитов на процентный риск, установленных для </w:t>
      </w:r>
      <w:r>
        <w:rPr>
          <w:spacing w:val="-4"/>
        </w:rPr>
        <w:t>Общества</w:t>
      </w:r>
      <w:r>
        <w:rPr>
          <w:color w:val="auto"/>
        </w:rPr>
        <w:t>;</w:t>
      </w:r>
    </w:p>
    <w:p w:rsidR="00230A2C" w:rsidRDefault="00A55E95">
      <w:pPr>
        <w:pStyle w:val="17"/>
        <w:widowControl/>
        <w:shd w:val="clear" w:color="auto" w:fill="auto"/>
        <w:ind w:firstLine="709"/>
      </w:pPr>
      <w:r>
        <w:t>- разрабатывает (выбирает) способы реагирования на процентный риск, разрабатывает и реализует мероприятия по управлению процентным риском и мероприятия по снижению негативных последствий реализации процентного риска;</w:t>
      </w:r>
    </w:p>
    <w:p w:rsidR="00230A2C" w:rsidRDefault="00A55E95">
      <w:pPr>
        <w:pStyle w:val="17"/>
        <w:widowControl/>
        <w:shd w:val="clear" w:color="auto" w:fill="auto"/>
        <w:ind w:firstLine="709"/>
      </w:pPr>
      <w:r>
        <w:t>- осуществляет мониторинг процентного риска и мероприятий по управлению процентным риском, в том числе:</w:t>
      </w:r>
    </w:p>
    <w:p w:rsidR="00230A2C" w:rsidRDefault="00A55E95">
      <w:pPr>
        <w:pStyle w:val="17"/>
        <w:widowControl/>
        <w:shd w:val="clear" w:color="auto" w:fill="auto"/>
        <w:ind w:firstLine="709"/>
      </w:pPr>
      <w:r>
        <w:t xml:space="preserve">- осуществляет мониторинг изменения процентных ставок на рынке; </w:t>
      </w:r>
    </w:p>
    <w:p w:rsidR="00230A2C" w:rsidRDefault="00A55E95">
      <w:pPr>
        <w:pStyle w:val="17"/>
        <w:widowControl/>
        <w:shd w:val="clear" w:color="auto" w:fill="auto"/>
        <w:ind w:firstLine="709"/>
        <w:rPr>
          <w:spacing w:val="-6"/>
        </w:rPr>
      </w:pPr>
      <w:r>
        <w:rPr>
          <w:spacing w:val="-6"/>
        </w:rPr>
        <w:t>- контролирует структуру баланса Общества в разрезе долговых обязательств и финансовых вложений на предмет соответствия установленным нормативными документами ПАО «Газпром» лимитам на процентный риск в части процентных ставок;</w:t>
      </w:r>
    </w:p>
    <w:p w:rsidR="00230A2C" w:rsidRDefault="00A55E95">
      <w:pPr>
        <w:pStyle w:val="17"/>
        <w:widowControl/>
        <w:shd w:val="clear" w:color="auto" w:fill="auto"/>
        <w:ind w:firstLine="709"/>
      </w:pPr>
      <w:r>
        <w:t>- осуществляет сбор данных и формирование управленческой отчетности по процентному риску Общества;</w:t>
      </w:r>
    </w:p>
    <w:p w:rsidR="00230A2C" w:rsidRDefault="00A55E95">
      <w:pPr>
        <w:pStyle w:val="17"/>
        <w:widowControl/>
        <w:shd w:val="clear" w:color="auto" w:fill="auto"/>
        <w:ind w:firstLine="709"/>
      </w:pPr>
      <w:r>
        <w:t>- информирует орган управления Общества об уровне процентного риска в случаях нарушения лимитов на процентный риск;</w:t>
      </w:r>
    </w:p>
    <w:p w:rsidR="00230A2C" w:rsidRDefault="00A55E95">
      <w:pPr>
        <w:pStyle w:val="17"/>
        <w:widowControl/>
        <w:shd w:val="clear" w:color="auto" w:fill="auto"/>
        <w:ind w:firstLine="709"/>
      </w:pPr>
      <w:r>
        <w:t>- осуществляет мониторинг соблюдения работниками Общества требований, применяемых в Группе Газпром межрегионгаз документов в области управления процентным риском и эффективности управления процентным риском;</w:t>
      </w:r>
    </w:p>
    <w:p w:rsidR="00230A2C" w:rsidRDefault="00A55E95">
      <w:pPr>
        <w:pStyle w:val="affe"/>
        <w:tabs>
          <w:tab w:val="left" w:pos="992"/>
        </w:tabs>
        <w:ind w:firstLine="709"/>
        <w:rPr>
          <w:rFonts w:ascii="Times New Roman" w:hAnsi="Times New Roman"/>
          <w:color w:val="000000"/>
          <w:spacing w:val="-6"/>
          <w:sz w:val="28"/>
          <w:szCs w:val="28"/>
        </w:rPr>
      </w:pPr>
      <w:r>
        <w:rPr>
          <w:rFonts w:ascii="Times New Roman" w:eastAsia="Times New Roman" w:hAnsi="Times New Roman"/>
          <w:b/>
          <w:spacing w:val="-6"/>
        </w:rPr>
        <w:t xml:space="preserve">- </w:t>
      </w:r>
      <w:r>
        <w:rPr>
          <w:rFonts w:ascii="Times New Roman" w:eastAsia="Times New Roman" w:hAnsi="Times New Roman"/>
          <w:spacing w:val="-6"/>
          <w:sz w:val="28"/>
          <w:szCs w:val="28"/>
        </w:rPr>
        <w:t xml:space="preserve">осуществляет подготовку отчетности </w:t>
      </w:r>
      <w:r>
        <w:rPr>
          <w:rFonts w:ascii="Times New Roman" w:eastAsia="Times New Roman" w:hAnsi="Times New Roman"/>
          <w:color w:val="000000"/>
          <w:spacing w:val="-6"/>
          <w:sz w:val="28"/>
          <w:szCs w:val="28"/>
          <w:lang w:eastAsia="ru-RU" w:bidi="ru-RU"/>
        </w:rPr>
        <w:t>по процентному риску и предоставляет отчетность в ПУРиВК Общества и органам управления Общества. Владелец процентного риска Общества представляет отчетность по процентному риску владельцу процентного риска МРГ;</w:t>
      </w:r>
    </w:p>
    <w:p w:rsidR="00230A2C" w:rsidRDefault="00A55E95">
      <w:pPr>
        <w:pStyle w:val="17"/>
        <w:widowControl/>
        <w:shd w:val="clear" w:color="auto" w:fill="auto"/>
        <w:ind w:firstLine="740"/>
      </w:pPr>
      <w:r>
        <w:t>- осуществляет реализацию мероприятий по управлению процентным риском, в том числе хеджирование (страхование) и мероприятий по снижению последствий реализации процентного риска;</w:t>
      </w:r>
    </w:p>
    <w:p w:rsidR="00230A2C" w:rsidRDefault="00A55E95">
      <w:pPr>
        <w:pStyle w:val="17"/>
        <w:widowControl/>
        <w:shd w:val="clear" w:color="auto" w:fill="auto"/>
        <w:ind w:firstLine="740"/>
      </w:pPr>
      <w:r>
        <w:t>- осуществляет подготовку информации по процентному риску для целей публичного раскрытия.</w:t>
      </w:r>
    </w:p>
    <w:p w:rsidR="00230A2C" w:rsidRDefault="00A55E95">
      <w:pPr>
        <w:pStyle w:val="17"/>
        <w:widowControl/>
        <w:ind w:firstLine="709"/>
      </w:pPr>
      <w:r>
        <w:t>2.3.3. Настоящее Положение уточняет следующие функции ПУРиВК Общества в процессе управления процентным риском:</w:t>
      </w:r>
    </w:p>
    <w:p w:rsidR="00230A2C" w:rsidRDefault="00A55E95">
      <w:pPr>
        <w:pStyle w:val="17"/>
        <w:widowControl/>
        <w:shd w:val="clear" w:color="auto" w:fill="auto"/>
        <w:ind w:firstLine="709"/>
      </w:pPr>
      <w:r>
        <w:t>- методологическая поддержка Общества в области управления процентным риском;</w:t>
      </w:r>
    </w:p>
    <w:p w:rsidR="00230A2C" w:rsidRDefault="00A55E95">
      <w:pPr>
        <w:pStyle w:val="17"/>
        <w:widowControl/>
        <w:shd w:val="clear" w:color="auto" w:fill="auto"/>
        <w:ind w:firstLine="709"/>
      </w:pPr>
      <w:r>
        <w:lastRenderedPageBreak/>
        <w:t>- согласование применяемой в Обществе управленческой отчетности по управлению процентным риском;</w:t>
      </w:r>
    </w:p>
    <w:p w:rsidR="00230A2C" w:rsidRDefault="00A55E95">
      <w:pPr>
        <w:pStyle w:val="17"/>
        <w:widowControl/>
        <w:shd w:val="clear" w:color="auto" w:fill="auto"/>
        <w:ind w:firstLine="709"/>
      </w:pPr>
      <w:r>
        <w:t>- рассмотрение и анализ оперативной управленческой отчетности по процентному риску Общества;</w:t>
      </w:r>
    </w:p>
    <w:p w:rsidR="00230A2C" w:rsidRDefault="00A55E95">
      <w:pPr>
        <w:rPr>
          <w:rFonts w:ascii="Times New Roman" w:hAnsi="Times New Roman"/>
          <w:sz w:val="28"/>
          <w:szCs w:val="28"/>
        </w:rPr>
      </w:pPr>
      <w:r>
        <w:rPr>
          <w:rFonts w:ascii="Times New Roman" w:eastAsia="Times New Roman" w:hAnsi="Times New Roman"/>
          <w:color w:val="000000"/>
          <w:sz w:val="28"/>
          <w:szCs w:val="28"/>
          <w:lang w:eastAsia="ru-RU" w:bidi="ru-RU"/>
        </w:rPr>
        <w:t>-</w:t>
      </w:r>
      <w:r>
        <w:rPr>
          <w:rFonts w:ascii="Times New Roman" w:eastAsia="Times New Roman" w:hAnsi="Times New Roman"/>
        </w:rPr>
        <w:t> </w:t>
      </w:r>
      <w:r>
        <w:rPr>
          <w:rFonts w:ascii="Times New Roman" w:eastAsia="Times New Roman" w:hAnsi="Times New Roman"/>
          <w:sz w:val="28"/>
          <w:szCs w:val="28"/>
          <w:lang w:eastAsia="ru-RU" w:bidi="ru-RU"/>
        </w:rPr>
        <w:t>согласование информации по процентному риску для целей публичного раскрытия;</w:t>
      </w:r>
    </w:p>
    <w:p w:rsidR="00230A2C" w:rsidRDefault="00A55E95">
      <w:pPr>
        <w:pStyle w:val="17"/>
        <w:widowControl/>
        <w:shd w:val="clear" w:color="auto" w:fill="auto"/>
        <w:ind w:firstLine="709"/>
      </w:pPr>
      <w:r>
        <w:t>- организация системы внутреннего контроля при управлении процентным риском в целях своевременного реагирования на риск и надлежащего выполнения мероприятий по реагированию на риск;</w:t>
      </w:r>
    </w:p>
    <w:p w:rsidR="00230A2C" w:rsidRDefault="00A55E95">
      <w:pPr>
        <w:pStyle w:val="17"/>
        <w:widowControl/>
        <w:shd w:val="clear" w:color="auto" w:fill="auto"/>
        <w:ind w:firstLine="709"/>
      </w:pPr>
      <w:r>
        <w:t>- согласование величины лимитов на процентный риск, устанавливаемых в отношении операций, несущих процентный риск, и обеспечение процедур контроля за их соблюдением;</w:t>
      </w:r>
    </w:p>
    <w:p w:rsidR="00230A2C" w:rsidRDefault="00A55E95">
      <w:pPr>
        <w:pStyle w:val="17"/>
        <w:widowControl/>
        <w:shd w:val="clear" w:color="auto" w:fill="auto"/>
        <w:ind w:firstLine="709"/>
      </w:pPr>
      <w:r>
        <w:t>- участие в организации мероприятий по повышению квалификации работников Общества, осуществляющих функции управления процентным риском;</w:t>
      </w:r>
    </w:p>
    <w:p w:rsidR="00230A2C" w:rsidRDefault="00A55E95">
      <w:pPr>
        <w:pStyle w:val="17"/>
        <w:widowControl/>
        <w:shd w:val="clear" w:color="auto" w:fill="auto"/>
        <w:ind w:firstLine="709"/>
      </w:pPr>
      <w:r>
        <w:t>- оценка эффективности системы управления процентным риском, включая организацию систем мониторинга и оценки процентного риска;</w:t>
      </w:r>
    </w:p>
    <w:p w:rsidR="00230A2C" w:rsidRDefault="00A55E95">
      <w:pPr>
        <w:pStyle w:val="17"/>
        <w:widowControl/>
        <w:shd w:val="clear" w:color="auto" w:fill="auto"/>
        <w:ind w:firstLine="709"/>
      </w:pPr>
      <w:r>
        <w:t>- проведение анализа качества и уровня зрелости системы управления процентным риском;</w:t>
      </w:r>
    </w:p>
    <w:p w:rsidR="00230A2C" w:rsidRDefault="00A55E95">
      <w:pPr>
        <w:pStyle w:val="17"/>
        <w:widowControl/>
        <w:shd w:val="clear" w:color="auto" w:fill="auto"/>
        <w:ind w:firstLine="709"/>
      </w:pPr>
      <w:r>
        <w:t>- внесение на рассмотрение органа управления Общества вопросов функционирования процессов управления процентным риском.</w:t>
      </w:r>
    </w:p>
    <w:p w:rsidR="00230A2C" w:rsidRDefault="00A55E95">
      <w:pPr>
        <w:pStyle w:val="17"/>
        <w:widowControl/>
        <w:shd w:val="clear" w:color="auto" w:fill="auto"/>
        <w:ind w:firstLine="709"/>
        <w:rPr>
          <w:spacing w:val="-6"/>
        </w:rPr>
      </w:pPr>
      <w:r>
        <w:rPr>
          <w:spacing w:val="-6"/>
        </w:rPr>
        <w:t>2.3.4. Совладельцы процентного риска выполняют функции в пределах своей компетенции, определенной внутренними распорядительными документами Общества, разработанными на основании локальных нормативных документов ПАО «Газпром», МРГ.</w:t>
      </w:r>
    </w:p>
    <w:p w:rsidR="00230A2C" w:rsidRDefault="00A55E95">
      <w:pPr>
        <w:pStyle w:val="17"/>
        <w:widowControl/>
        <w:shd w:val="clear" w:color="auto" w:fill="auto"/>
        <w:ind w:firstLine="709"/>
      </w:pPr>
      <w:r>
        <w:rPr>
          <w:spacing w:val="-6"/>
        </w:rPr>
        <w:t>2.3.5 По запросу участников процесса управления процентным риском могут быть привлечены структурные подразделения и работники Общества, не указанные в пункте 2.3.1 настоящего Положения, в пределах задач и функций, определенных локальными нормативными актами Общества.</w:t>
      </w:r>
    </w:p>
    <w:p w:rsidR="00230A2C" w:rsidRDefault="00A55E95">
      <w:pPr>
        <w:pStyle w:val="1"/>
        <w:keepLines/>
        <w:numPr>
          <w:ilvl w:val="0"/>
          <w:numId w:val="14"/>
        </w:numPr>
        <w:spacing w:before="240" w:after="120" w:line="240" w:lineRule="auto"/>
        <w:ind w:left="0" w:firstLine="709"/>
        <w:jc w:val="both"/>
        <w:rPr>
          <w:rFonts w:ascii="Times New Roman" w:hAnsi="Times New Roman"/>
          <w:szCs w:val="28"/>
        </w:rPr>
      </w:pPr>
      <w:bookmarkStart w:id="25" w:name="_Toc963913"/>
      <w:bookmarkStart w:id="26" w:name="_Toc178597937"/>
      <w:r>
        <w:rPr>
          <w:rFonts w:ascii="Times New Roman" w:eastAsia="Times New Roman" w:hAnsi="Times New Roman"/>
          <w:szCs w:val="28"/>
        </w:rPr>
        <w:t xml:space="preserve">Компоненты управления </w:t>
      </w:r>
      <w:bookmarkEnd w:id="25"/>
      <w:r>
        <w:rPr>
          <w:rFonts w:ascii="Times New Roman" w:eastAsia="Times New Roman" w:hAnsi="Times New Roman"/>
          <w:szCs w:val="28"/>
        </w:rPr>
        <w:t>процентным риском</w:t>
      </w:r>
      <w:bookmarkEnd w:id="26"/>
    </w:p>
    <w:p w:rsidR="00230A2C" w:rsidRDefault="00A55E95">
      <w:pPr>
        <w:pStyle w:val="2"/>
        <w:keepNext w:val="0"/>
        <w:numPr>
          <w:ilvl w:val="1"/>
          <w:numId w:val="14"/>
        </w:numPr>
        <w:spacing w:before="120"/>
        <w:ind w:left="0" w:firstLine="709"/>
        <w:jc w:val="both"/>
        <w:rPr>
          <w:rFonts w:ascii="Times New Roman" w:hAnsi="Times New Roman"/>
          <w:szCs w:val="28"/>
        </w:rPr>
      </w:pPr>
      <w:bookmarkStart w:id="27" w:name="_Toc178597938"/>
      <w:r>
        <w:rPr>
          <w:rFonts w:ascii="Times New Roman" w:eastAsia="Times New Roman" w:hAnsi="Times New Roman"/>
          <w:szCs w:val="28"/>
        </w:rPr>
        <w:t>Постановка целей при управлении процентным риском</w:t>
      </w:r>
      <w:bookmarkEnd w:id="27"/>
    </w:p>
    <w:p w:rsidR="00230A2C" w:rsidRDefault="00A55E95">
      <w:pPr>
        <w:pStyle w:val="ConsPlusNormal"/>
        <w:rPr>
          <w:sz w:val="28"/>
          <w:szCs w:val="28"/>
        </w:rPr>
      </w:pPr>
      <w:r>
        <w:rPr>
          <w:rFonts w:eastAsia="Times New Roman"/>
          <w:sz w:val="28"/>
          <w:szCs w:val="28"/>
        </w:rPr>
        <w:t>3.1.1. Основные положения в части внутренней контрольной среды в рамках управления процентным риском соответствуют положениям Политики.</w:t>
      </w:r>
    </w:p>
    <w:p w:rsidR="00230A2C" w:rsidRDefault="00A55E95">
      <w:pPr>
        <w:pStyle w:val="17"/>
        <w:widowControl/>
        <w:shd w:val="clear" w:color="auto" w:fill="auto"/>
        <w:ind w:firstLine="709"/>
      </w:pPr>
      <w:r>
        <w:t>Дополнительно при постановке целей при управлении процентным риском предусматривается:</w:t>
      </w:r>
    </w:p>
    <w:p w:rsidR="00230A2C" w:rsidRDefault="00A55E95">
      <w:pPr>
        <w:pStyle w:val="17"/>
        <w:widowControl/>
        <w:shd w:val="clear" w:color="auto" w:fill="auto"/>
        <w:ind w:firstLine="709"/>
      </w:pPr>
      <w:r>
        <w:t>- определение допустимого уровня процентного риска для Общества;</w:t>
      </w:r>
    </w:p>
    <w:p w:rsidR="00230A2C" w:rsidRDefault="00A55E95">
      <w:pPr>
        <w:pStyle w:val="17"/>
        <w:widowControl/>
        <w:shd w:val="clear" w:color="auto" w:fill="auto"/>
        <w:ind w:firstLine="709"/>
      </w:pPr>
      <w:r>
        <w:t>- определение лимитов на процентный риск для Общества с учетом лимитов на процентный риск, установленных в соответствии с нормативными документами ПАО «Газпром»;</w:t>
      </w:r>
    </w:p>
    <w:p w:rsidR="00230A2C" w:rsidRDefault="00A55E95">
      <w:pPr>
        <w:pStyle w:val="17"/>
        <w:widowControl/>
        <w:shd w:val="clear" w:color="auto" w:fill="auto"/>
        <w:ind w:firstLine="709"/>
      </w:pPr>
      <w:r>
        <w:t>- распределение лимитов на процентный риск.</w:t>
      </w:r>
    </w:p>
    <w:p w:rsidR="00230A2C" w:rsidRDefault="00A55E95">
      <w:pPr>
        <w:pStyle w:val="17"/>
        <w:widowControl/>
        <w:shd w:val="clear" w:color="auto" w:fill="auto"/>
        <w:tabs>
          <w:tab w:val="left" w:pos="1259"/>
        </w:tabs>
        <w:ind w:firstLine="709"/>
      </w:pPr>
      <w:r>
        <w:t xml:space="preserve">3.1.2. В целях реализации эффективного управления процентным риском лимиты на процентный риск устанавливаются в отношении операций с финансовыми инструментами, чувствительными к изменению процентных </w:t>
      </w:r>
      <w:r>
        <w:lastRenderedPageBreak/>
        <w:t xml:space="preserve">ставок. Лимиты на процентный риск могут быть установлены в разрезе отдельных операций (или портфелей финансовых инструментов) и по всем операциям с финансовыми инструментами, чувствительными к изменению процентных ставок. Устанавливается также общее ограничение процентного </w:t>
      </w:r>
      <w:r>
        <w:rPr>
          <w:spacing w:val="-6"/>
        </w:rPr>
        <w:t>риска – допустимый уровень процентного риска Группы Газпром межрегионгаз на основании установленного допустимого уровня процентного риска для Группы Газпром</w:t>
      </w:r>
      <w:r>
        <w:t>.</w:t>
      </w:r>
    </w:p>
    <w:p w:rsidR="00230A2C" w:rsidRDefault="00A55E95">
      <w:pPr>
        <w:pStyle w:val="17"/>
        <w:widowControl/>
        <w:shd w:val="clear" w:color="auto" w:fill="auto"/>
        <w:ind w:firstLine="709"/>
      </w:pPr>
      <w:r>
        <w:t>3.1.3. Лимиты на процентный риск включают:</w:t>
      </w:r>
    </w:p>
    <w:p w:rsidR="00230A2C" w:rsidRDefault="00A55E95">
      <w:pPr>
        <w:pStyle w:val="17"/>
        <w:widowControl/>
        <w:shd w:val="clear" w:color="auto" w:fill="auto"/>
        <w:tabs>
          <w:tab w:val="left" w:pos="1254"/>
        </w:tabs>
        <w:ind w:firstLine="709"/>
      </w:pPr>
      <w:r>
        <w:t>- лимиты на уровень максимальных потерь в результате реализации процентного риска (предельную подверженность процентному риску);</w:t>
      </w:r>
    </w:p>
    <w:p w:rsidR="00230A2C" w:rsidRDefault="00A55E95">
      <w:pPr>
        <w:pStyle w:val="17"/>
        <w:widowControl/>
        <w:shd w:val="clear" w:color="auto" w:fill="auto"/>
        <w:ind w:firstLine="709"/>
      </w:pPr>
      <w:r>
        <w:t>- лимиты на совокупный размер процентных обязательств с плавающей ставкой;</w:t>
      </w:r>
    </w:p>
    <w:p w:rsidR="00230A2C" w:rsidRDefault="00A55E95">
      <w:pPr>
        <w:pStyle w:val="17"/>
        <w:widowControl/>
        <w:shd w:val="clear" w:color="auto" w:fill="auto"/>
        <w:ind w:firstLine="709"/>
      </w:pPr>
      <w:r>
        <w:t>- лимиты на размер процентного риска в разрезе отдельных валют;</w:t>
      </w:r>
    </w:p>
    <w:p w:rsidR="00230A2C" w:rsidRDefault="00A55E95">
      <w:pPr>
        <w:pStyle w:val="17"/>
        <w:widowControl/>
        <w:shd w:val="clear" w:color="auto" w:fill="auto"/>
        <w:ind w:firstLine="709"/>
      </w:pPr>
      <w:r>
        <w:t>- лимиты по ПФИ (срочность, объем требований/обязательств по ПФИ);</w:t>
      </w:r>
    </w:p>
    <w:p w:rsidR="00230A2C" w:rsidRDefault="00A55E95">
      <w:pPr>
        <w:pStyle w:val="17"/>
        <w:widowControl/>
        <w:shd w:val="clear" w:color="auto" w:fill="auto"/>
        <w:ind w:firstLine="709"/>
      </w:pPr>
      <w:r>
        <w:t>- лимиты на структуру активов/пассивов по срокам размещения (привлечения) (определяют максимальную сумму денежных средств, размещаемых на конкретный срок);</w:t>
      </w:r>
    </w:p>
    <w:p w:rsidR="00230A2C" w:rsidRDefault="00A55E95">
      <w:pPr>
        <w:pStyle w:val="17"/>
        <w:widowControl/>
        <w:shd w:val="clear" w:color="auto" w:fill="auto"/>
        <w:ind w:firstLine="709"/>
      </w:pPr>
      <w:r>
        <w:t>- лимиты по сроку на конкретный финансовый инструмент;</w:t>
      </w:r>
    </w:p>
    <w:p w:rsidR="00230A2C" w:rsidRDefault="00A55E95">
      <w:pPr>
        <w:pStyle w:val="17"/>
        <w:widowControl/>
        <w:shd w:val="clear" w:color="auto" w:fill="auto"/>
        <w:ind w:firstLine="709"/>
      </w:pPr>
      <w:r>
        <w:t>- лимиты, ограничивающие показатели процентного риска (лимиты показателей процентного гэпа – коэффициент разрыва совокупного гэпа, размер чистой процентной маржи, размер процентного спреда, лимиты на разрывы процентного гэпа);</w:t>
      </w:r>
    </w:p>
    <w:p w:rsidR="00230A2C" w:rsidRDefault="00A55E95">
      <w:pPr>
        <w:pStyle w:val="17"/>
        <w:widowControl/>
        <w:shd w:val="clear" w:color="auto" w:fill="auto"/>
        <w:ind w:firstLine="709"/>
      </w:pPr>
      <w:r>
        <w:rPr>
          <w:lang w:eastAsia="en-US" w:bidi="en-US"/>
        </w:rPr>
        <w:t>- </w:t>
      </w:r>
      <w:r>
        <w:rPr>
          <w:lang w:val="en-US" w:eastAsia="en-US" w:bidi="en-US"/>
        </w:rPr>
        <w:t>VaR</w:t>
      </w:r>
      <w:r>
        <w:rPr>
          <w:lang w:eastAsia="en-US" w:bidi="en-US"/>
        </w:rPr>
        <w:t>-</w:t>
      </w:r>
      <w:r>
        <w:t>лимиты.</w:t>
      </w:r>
    </w:p>
    <w:p w:rsidR="00230A2C" w:rsidRDefault="00A55E95">
      <w:pPr>
        <w:pStyle w:val="17"/>
        <w:widowControl/>
        <w:shd w:val="clear" w:color="auto" w:fill="auto"/>
        <w:ind w:firstLine="709"/>
      </w:pPr>
      <w:r>
        <w:t>3.1.4. Лимиты на процентный риск ограничивают полномочия владельца (совладельца) процентного риска по принятию процентного риска и обеспечивают условие о непревышении предельно допустимого уровня процентного риска.</w:t>
      </w:r>
    </w:p>
    <w:p w:rsidR="00230A2C" w:rsidRDefault="00A55E95">
      <w:pPr>
        <w:pStyle w:val="17"/>
        <w:widowControl/>
        <w:shd w:val="clear" w:color="auto" w:fill="auto"/>
        <w:ind w:firstLine="709"/>
      </w:pPr>
      <w:r>
        <w:t>3.1.5. Результат от неблагоприятного изменения процентных ставок по активам и обязательствам Общества (не должен превышать установленных лимитов на процентный риск.</w:t>
      </w:r>
    </w:p>
    <w:p w:rsidR="00230A2C" w:rsidRDefault="00A55E95">
      <w:pPr>
        <w:pStyle w:val="17"/>
        <w:widowControl/>
        <w:shd w:val="clear" w:color="auto" w:fill="auto"/>
        <w:ind w:firstLine="709"/>
      </w:pPr>
      <w:r>
        <w:t>В целях недопущения принятия рисков сверх установленных лимитов на процентный риск (в том числе по суммам, срокам) владелец (совладелец) процентного риска должен проводить оперативный контроль установленных лимитов на процентный риск.</w:t>
      </w:r>
    </w:p>
    <w:p w:rsidR="00230A2C" w:rsidRDefault="00A55E95">
      <w:pPr>
        <w:pStyle w:val="17"/>
        <w:widowControl/>
        <w:shd w:val="clear" w:color="auto" w:fill="auto"/>
        <w:ind w:firstLine="709"/>
      </w:pPr>
      <w:r>
        <w:t>3.1.6. Анализ установленных лимитов на процентный риск и при необходимости подготовка предложений о пересмотре лимитов на процентный риск осуществляются владельцем процентного риска на постоянной основе.</w:t>
      </w:r>
    </w:p>
    <w:p w:rsidR="00230A2C" w:rsidRDefault="00A55E95">
      <w:pPr>
        <w:pStyle w:val="17"/>
        <w:widowControl/>
        <w:shd w:val="clear" w:color="auto" w:fill="auto"/>
        <w:ind w:firstLine="709"/>
      </w:pPr>
      <w:r>
        <w:t>3.1.7. Информация о нарушении установленных лимитов на процентный риск доводится владельцем процентного риска до сведения владельца процентного риска МРГ.</w:t>
      </w:r>
    </w:p>
    <w:p w:rsidR="00230A2C" w:rsidRDefault="00A55E95">
      <w:pPr>
        <w:pStyle w:val="2"/>
        <w:numPr>
          <w:ilvl w:val="1"/>
          <w:numId w:val="14"/>
        </w:numPr>
        <w:spacing w:before="120"/>
        <w:ind w:left="0" w:firstLine="709"/>
        <w:jc w:val="both"/>
        <w:rPr>
          <w:rFonts w:ascii="Times New Roman" w:hAnsi="Times New Roman"/>
        </w:rPr>
      </w:pPr>
      <w:bookmarkStart w:id="28" w:name="_Toc963916"/>
      <w:bookmarkStart w:id="29" w:name="_Toc178597939"/>
      <w:r>
        <w:rPr>
          <w:rFonts w:ascii="Times New Roman" w:eastAsia="Times New Roman" w:hAnsi="Times New Roman"/>
        </w:rPr>
        <w:t>Идентификация процентного риск</w:t>
      </w:r>
      <w:bookmarkEnd w:id="28"/>
      <w:r>
        <w:rPr>
          <w:rFonts w:ascii="Times New Roman" w:eastAsia="Times New Roman" w:hAnsi="Times New Roman"/>
        </w:rPr>
        <w:t>а</w:t>
      </w:r>
      <w:bookmarkEnd w:id="29"/>
      <w:r>
        <w:rPr>
          <w:rFonts w:ascii="Times New Roman" w:eastAsia="Times New Roman" w:hAnsi="Times New Roman"/>
        </w:rPr>
        <w:t xml:space="preserve"> </w:t>
      </w:r>
    </w:p>
    <w:p w:rsidR="00230A2C" w:rsidRDefault="00A55E95">
      <w:pPr>
        <w:pStyle w:val="ConsPlusNormal"/>
        <w:rPr>
          <w:sz w:val="28"/>
          <w:szCs w:val="28"/>
        </w:rPr>
      </w:pPr>
      <w:r>
        <w:rPr>
          <w:rFonts w:eastAsia="Times New Roman"/>
          <w:sz w:val="28"/>
          <w:szCs w:val="28"/>
        </w:rPr>
        <w:t xml:space="preserve">Основные положения в части идентификации </w:t>
      </w:r>
      <w:r>
        <w:rPr>
          <w:rFonts w:eastAsia="Times New Roman"/>
          <w:sz w:val="28"/>
          <w:szCs w:val="28"/>
          <w:lang w:eastAsia="de-DE"/>
        </w:rPr>
        <w:t>процентного риска</w:t>
      </w:r>
      <w:r>
        <w:rPr>
          <w:rFonts w:eastAsia="Times New Roman"/>
          <w:sz w:val="28"/>
          <w:szCs w:val="28"/>
        </w:rPr>
        <w:t xml:space="preserve"> соответствуют положениям Политики.</w:t>
      </w:r>
    </w:p>
    <w:p w:rsidR="00230A2C" w:rsidRDefault="00A55E95">
      <w:pPr>
        <w:pStyle w:val="17"/>
        <w:widowControl/>
        <w:shd w:val="clear" w:color="auto" w:fill="auto"/>
        <w:ind w:firstLine="709"/>
      </w:pPr>
      <w:r>
        <w:lastRenderedPageBreak/>
        <w:t xml:space="preserve">3.2.1. Идентификация процентного риска проводится владельцем (совладельцем) процентного риска на основе собираемой и анализируемой им доступной информации о внешних или внутренних факторах процентного риска, потенциально влияющих на процентные потоки Общества. </w:t>
      </w:r>
    </w:p>
    <w:p w:rsidR="00230A2C" w:rsidRDefault="00A55E95">
      <w:pPr>
        <w:pStyle w:val="17"/>
        <w:widowControl/>
        <w:shd w:val="clear" w:color="auto" w:fill="auto"/>
        <w:ind w:firstLine="709"/>
      </w:pPr>
      <w:r>
        <w:t>3.2.2. Внешние факторы процентного риска обуславливаются рыночной средой, в том числе макроэкономическими факторами, действиями сторонних физических и/или юридических лиц, а также действиями государственных органов власти, местного самоуправления, осуществляющих нормативное правовое регулирование и функции по контролю и надзору в сфере финансовых рынков.</w:t>
      </w:r>
    </w:p>
    <w:p w:rsidR="00230A2C" w:rsidRDefault="00A55E95">
      <w:pPr>
        <w:pStyle w:val="17"/>
        <w:widowControl/>
        <w:shd w:val="clear" w:color="auto" w:fill="auto"/>
        <w:ind w:firstLine="709"/>
        <w:rPr>
          <w:spacing w:val="-6"/>
        </w:rPr>
      </w:pPr>
      <w:r>
        <w:t>3.2.3. Внутренние факторы процентного риска обуславливаются внутренней средой, принятыми решениями, действиями работников Общества</w:t>
      </w:r>
      <w:r>
        <w:rPr>
          <w:spacing w:val="-6"/>
        </w:rPr>
        <w:t xml:space="preserve">, принимающих участие в управлении процентным риском, и бизнес-процессами </w:t>
      </w:r>
      <w:r>
        <w:t>Общества</w:t>
      </w:r>
      <w:r>
        <w:rPr>
          <w:spacing w:val="-6"/>
        </w:rPr>
        <w:t>.</w:t>
      </w:r>
    </w:p>
    <w:p w:rsidR="00230A2C" w:rsidRDefault="00A55E95">
      <w:pPr>
        <w:pStyle w:val="2"/>
        <w:numPr>
          <w:ilvl w:val="1"/>
          <w:numId w:val="14"/>
        </w:numPr>
        <w:spacing w:before="120"/>
        <w:ind w:left="0" w:firstLine="709"/>
        <w:jc w:val="both"/>
        <w:rPr>
          <w:rFonts w:ascii="Times New Roman" w:hAnsi="Times New Roman"/>
        </w:rPr>
      </w:pPr>
      <w:bookmarkStart w:id="30" w:name="_Toc963917"/>
      <w:bookmarkStart w:id="31" w:name="_Toc178597940"/>
      <w:r>
        <w:rPr>
          <w:rFonts w:ascii="Times New Roman" w:eastAsia="Times New Roman" w:hAnsi="Times New Roman"/>
        </w:rPr>
        <w:t>Оценка процентного риск</w:t>
      </w:r>
      <w:bookmarkEnd w:id="30"/>
      <w:r>
        <w:rPr>
          <w:rFonts w:ascii="Times New Roman" w:eastAsia="Times New Roman" w:hAnsi="Times New Roman"/>
        </w:rPr>
        <w:t>а</w:t>
      </w:r>
      <w:bookmarkEnd w:id="31"/>
      <w:r>
        <w:rPr>
          <w:rFonts w:ascii="Times New Roman" w:eastAsia="Times New Roman" w:hAnsi="Times New Roman"/>
        </w:rPr>
        <w:t xml:space="preserve"> </w:t>
      </w:r>
    </w:p>
    <w:p w:rsidR="00230A2C" w:rsidRDefault="00A55E95">
      <w:pPr>
        <w:pStyle w:val="17"/>
        <w:widowControl/>
        <w:shd w:val="clear" w:color="auto" w:fill="auto"/>
        <w:ind w:firstLine="709"/>
      </w:pPr>
      <w:r>
        <w:t>3.3.1. Для оценки процентного риска владелец (совладелец) процентного риска проводит мониторинг активов и пассивов Общества.</w:t>
      </w:r>
    </w:p>
    <w:p w:rsidR="00230A2C" w:rsidRDefault="00A55E95">
      <w:pPr>
        <w:pStyle w:val="17"/>
        <w:widowControl/>
        <w:shd w:val="clear" w:color="auto" w:fill="auto"/>
        <w:ind w:firstLine="709"/>
      </w:pPr>
      <w:r>
        <w:t>3.3.2. Количественная оценка процентного риска осуществляется в отношении финансовых инструментов, чувствительных к изменению процентных ставок.</w:t>
      </w:r>
    </w:p>
    <w:p w:rsidR="00230A2C" w:rsidRDefault="00A55E95">
      <w:pPr>
        <w:pStyle w:val="17"/>
        <w:widowControl/>
        <w:shd w:val="clear" w:color="auto" w:fill="auto"/>
        <w:ind w:firstLine="709"/>
      </w:pPr>
      <w:r>
        <w:t>3.3.3. Для целей организации системы оценки (измерения) процентного риска локальными нормативными актами Общества устанавливается перечень финансовых инструментов, чувствительных к изменению процентных ставок, с которыми совершаются операции и сделки, с определением целей их совершения (получение прибыли или хеджирование).</w:t>
      </w:r>
    </w:p>
    <w:p w:rsidR="00230A2C" w:rsidRDefault="00A55E95">
      <w:pPr>
        <w:pStyle w:val="17"/>
        <w:widowControl/>
        <w:shd w:val="clear" w:color="auto" w:fill="auto"/>
        <w:ind w:firstLine="709"/>
        <w:rPr>
          <w:spacing w:val="-6"/>
        </w:rPr>
      </w:pPr>
      <w:r>
        <w:rPr>
          <w:spacing w:val="-6"/>
        </w:rPr>
        <w:t xml:space="preserve">3.3.4. Для оценки влияния возможного изменения процентных ставок на величину активов и пассивов </w:t>
      </w:r>
      <w:r>
        <w:t xml:space="preserve">Общества </w:t>
      </w:r>
      <w:r>
        <w:rPr>
          <w:spacing w:val="-6"/>
        </w:rPr>
        <w:t>могут применяться различные количественные методы оценки процентного риска, позволяющие осуществлять оценку текущего уровня процентного риска, а также определить возможное значительное (существенное) повышение процентного риска, которое может возникнуть в будущем.</w:t>
      </w:r>
    </w:p>
    <w:p w:rsidR="00230A2C" w:rsidRDefault="00A55E95">
      <w:pPr>
        <w:pStyle w:val="17"/>
        <w:widowControl/>
        <w:shd w:val="clear" w:color="auto" w:fill="auto"/>
        <w:ind w:firstLine="709"/>
        <w:rPr>
          <w:spacing w:val="-8"/>
        </w:rPr>
      </w:pPr>
      <w:r>
        <w:t>3.3.5. Оценка процентного риска проводится владельцем риска</w:t>
      </w:r>
      <w:r>
        <w:rPr>
          <w:spacing w:val="-8"/>
        </w:rPr>
        <w:t xml:space="preserve"> с применением, в частности, следующих количественных методов (инструментов):</w:t>
      </w:r>
    </w:p>
    <w:p w:rsidR="00230A2C" w:rsidRDefault="00A55E95">
      <w:pPr>
        <w:pStyle w:val="17"/>
        <w:widowControl/>
        <w:shd w:val="clear" w:color="auto" w:fill="auto"/>
        <w:ind w:firstLine="709"/>
      </w:pPr>
      <w:r>
        <w:t>- гэп-анализ;</w:t>
      </w:r>
    </w:p>
    <w:p w:rsidR="00230A2C" w:rsidRDefault="00A55E95">
      <w:pPr>
        <w:pStyle w:val="17"/>
        <w:widowControl/>
        <w:shd w:val="clear" w:color="auto" w:fill="auto"/>
        <w:ind w:firstLine="709"/>
      </w:pPr>
      <w:r>
        <w:t>- метод дюрации (измерение влияния изменения процентных ставок на величину текущей стоимости активов и пассивов);</w:t>
      </w:r>
    </w:p>
    <w:p w:rsidR="00230A2C" w:rsidRDefault="00A55E95">
      <w:pPr>
        <w:pStyle w:val="17"/>
        <w:widowControl/>
        <w:shd w:val="clear" w:color="auto" w:fill="auto"/>
        <w:ind w:firstLine="709"/>
      </w:pPr>
      <w:r>
        <w:t>- имитационные модели;</w:t>
      </w:r>
    </w:p>
    <w:p w:rsidR="00230A2C" w:rsidRDefault="00A55E95">
      <w:pPr>
        <w:pStyle w:val="17"/>
        <w:widowControl/>
        <w:shd w:val="clear" w:color="auto" w:fill="auto"/>
        <w:ind w:firstLine="709"/>
      </w:pPr>
      <w:r>
        <w:t>- анализ чувствительности;</w:t>
      </w:r>
    </w:p>
    <w:p w:rsidR="00230A2C" w:rsidRDefault="00A55E95">
      <w:pPr>
        <w:pStyle w:val="17"/>
        <w:widowControl/>
        <w:shd w:val="clear" w:color="auto" w:fill="auto"/>
        <w:ind w:firstLine="709"/>
      </w:pPr>
      <w:r>
        <w:t>- сценарный анализ и стресс-тестирование;</w:t>
      </w:r>
    </w:p>
    <w:p w:rsidR="00230A2C" w:rsidRDefault="00A55E95">
      <w:pPr>
        <w:pStyle w:val="17"/>
        <w:widowControl/>
        <w:shd w:val="clear" w:color="auto" w:fill="auto"/>
        <w:ind w:firstLine="709"/>
      </w:pPr>
      <w:r>
        <w:rPr>
          <w:lang w:eastAsia="en-US" w:bidi="en-US"/>
        </w:rPr>
        <w:t>- </w:t>
      </w:r>
      <w:r>
        <w:rPr>
          <w:lang w:val="en-US" w:eastAsia="en-US" w:bidi="en-US"/>
        </w:rPr>
        <w:t>VaR</w:t>
      </w:r>
      <w:r>
        <w:rPr>
          <w:lang w:eastAsia="en-US" w:bidi="en-US"/>
        </w:rPr>
        <w:t xml:space="preserve"> </w:t>
      </w:r>
      <w:r>
        <w:t>(в том числе методом исторического моделирования).</w:t>
      </w:r>
    </w:p>
    <w:p w:rsidR="00230A2C" w:rsidRDefault="00A55E95">
      <w:pPr>
        <w:pStyle w:val="17"/>
        <w:widowControl/>
        <w:shd w:val="clear" w:color="auto" w:fill="auto"/>
        <w:ind w:firstLine="709"/>
      </w:pPr>
      <w:r>
        <w:t xml:space="preserve">3.3.6. Сценарный анализ и стресс-тестирование направлены на анализ вероятного воздействия изменений во внешней рыночной конъюнктуре и оценку размера возможных потерь Общества посредством расчета стоимости </w:t>
      </w:r>
      <w:r>
        <w:lastRenderedPageBreak/>
        <w:t>обесценения финансовых активов при реализации различных макроэкономических сценариев.</w:t>
      </w:r>
    </w:p>
    <w:p w:rsidR="00230A2C" w:rsidRDefault="00A55E95">
      <w:pPr>
        <w:pStyle w:val="17"/>
        <w:widowControl/>
        <w:shd w:val="clear" w:color="auto" w:fill="auto"/>
        <w:ind w:firstLine="709"/>
      </w:pPr>
      <w:r>
        <w:t>3.3.7. Стресс-тестирование проводится на основе стресс-сценариев, утвержденных коллегиальным органом ПАО «Газпром».</w:t>
      </w:r>
    </w:p>
    <w:p w:rsidR="00230A2C" w:rsidRDefault="00A55E95">
      <w:pPr>
        <w:pStyle w:val="17"/>
        <w:widowControl/>
        <w:shd w:val="clear" w:color="auto" w:fill="auto"/>
        <w:ind w:firstLine="709"/>
      </w:pPr>
      <w:r>
        <w:t>3.3.8. При проведении сценарного анализа и стресс-тестирования могут использоваться, в частности, сценарии, связанные с изменением:</w:t>
      </w:r>
    </w:p>
    <w:p w:rsidR="00230A2C" w:rsidRDefault="00A55E95">
      <w:pPr>
        <w:pStyle w:val="17"/>
        <w:widowControl/>
        <w:shd w:val="clear" w:color="auto" w:fill="auto"/>
        <w:ind w:firstLine="709"/>
      </w:pPr>
      <w:r>
        <w:t>- общего уровня процентных ставок;</w:t>
      </w:r>
    </w:p>
    <w:p w:rsidR="00230A2C" w:rsidRDefault="00A55E95">
      <w:pPr>
        <w:pStyle w:val="17"/>
        <w:widowControl/>
        <w:shd w:val="clear" w:color="auto" w:fill="auto"/>
        <w:ind w:firstLine="709"/>
      </w:pPr>
      <w:r>
        <w:t>- доходности финансовых инструментов, чувствительных к изменению процентных ставок;</w:t>
      </w:r>
    </w:p>
    <w:p w:rsidR="00230A2C" w:rsidRDefault="00A55E95">
      <w:pPr>
        <w:pStyle w:val="17"/>
        <w:widowControl/>
        <w:shd w:val="clear" w:color="auto" w:fill="auto"/>
        <w:ind w:firstLine="709"/>
      </w:pPr>
      <w:r>
        <w:t>- соотношений между процентными ставками по привлекаемым и размещаемым ресурсам;</w:t>
      </w:r>
    </w:p>
    <w:p w:rsidR="00230A2C" w:rsidRDefault="00A55E95">
      <w:pPr>
        <w:pStyle w:val="17"/>
        <w:widowControl/>
        <w:shd w:val="clear" w:color="auto" w:fill="auto"/>
        <w:ind w:firstLine="709"/>
      </w:pPr>
      <w:r>
        <w:t>- степени волатильности рыночных процентных ставок.</w:t>
      </w:r>
    </w:p>
    <w:p w:rsidR="00230A2C" w:rsidRDefault="00A55E95">
      <w:pPr>
        <w:pStyle w:val="17"/>
        <w:widowControl/>
        <w:shd w:val="clear" w:color="auto" w:fill="auto"/>
        <w:ind w:firstLine="709"/>
      </w:pPr>
      <w:r>
        <w:t>3.3.9. При проведении сценарного анализа и стресс-тестирования могут использоваться сценарии, предусматривающие значительные ухудшения ключевых рыночных, финансовых и/или иных факторов и условий деятельности Общества.</w:t>
      </w:r>
    </w:p>
    <w:p w:rsidR="00230A2C" w:rsidRDefault="00A55E95">
      <w:pPr>
        <w:pStyle w:val="17"/>
        <w:widowControl/>
        <w:shd w:val="clear" w:color="auto" w:fill="auto"/>
        <w:ind w:firstLine="709"/>
      </w:pPr>
      <w:r>
        <w:t>3.3.10. Процедуры стресс-тестирования должны быть определены владельцем процентного риска ПАО «Газпром», согласованы с ПУРиВК ПАО «Газпром», закреплены в нормативных документах МРГ и Общества, созданных на основании локальных нормативных актов ПАО «Газпром», и должны определять:</w:t>
      </w:r>
    </w:p>
    <w:p w:rsidR="00230A2C" w:rsidRDefault="00A55E95">
      <w:pPr>
        <w:pStyle w:val="17"/>
        <w:widowControl/>
        <w:shd w:val="clear" w:color="auto" w:fill="auto"/>
        <w:ind w:firstLine="709"/>
      </w:pPr>
      <w:r>
        <w:t>- типы стресс-тестов и основные задачи, решаемые в процессе</w:t>
      </w:r>
      <w:r>
        <w:br/>
        <w:t>стресс-тестирования;</w:t>
      </w:r>
    </w:p>
    <w:p w:rsidR="00230A2C" w:rsidRDefault="00A55E95">
      <w:pPr>
        <w:pStyle w:val="17"/>
        <w:widowControl/>
        <w:shd w:val="clear" w:color="auto" w:fill="auto"/>
        <w:ind w:firstLine="709"/>
      </w:pPr>
      <w:r>
        <w:t>- периодичность проведения стресс-тестирования в зависимости от типов стресс-тестов и решаемых с их помощью задач (не реже чем один раз в год);</w:t>
      </w:r>
    </w:p>
    <w:p w:rsidR="00230A2C" w:rsidRDefault="00A55E95">
      <w:pPr>
        <w:pStyle w:val="17"/>
        <w:widowControl/>
        <w:shd w:val="clear" w:color="auto" w:fill="auto"/>
        <w:ind w:firstLine="709"/>
      </w:pPr>
      <w:r>
        <w:t>- перечень используемых подходов при выборе сценариев;</w:t>
      </w:r>
    </w:p>
    <w:p w:rsidR="00230A2C" w:rsidRDefault="00A55E95">
      <w:pPr>
        <w:pStyle w:val="17"/>
        <w:widowControl/>
        <w:shd w:val="clear" w:color="auto" w:fill="auto"/>
        <w:ind w:firstLine="709"/>
      </w:pPr>
      <w:r>
        <w:t>- порядок использования результатов стресс-тестирования при управлении процентным риском;</w:t>
      </w:r>
    </w:p>
    <w:p w:rsidR="00230A2C" w:rsidRDefault="00A55E95">
      <w:pPr>
        <w:pStyle w:val="17"/>
        <w:widowControl/>
        <w:shd w:val="clear" w:color="auto" w:fill="auto"/>
        <w:ind w:firstLine="709"/>
      </w:pPr>
      <w:r>
        <w:t xml:space="preserve">- порядок информирования органов управления </w:t>
      </w:r>
      <w:r>
        <w:rPr>
          <w:spacing w:val="-4"/>
        </w:rPr>
        <w:t xml:space="preserve">Общества </w:t>
      </w:r>
      <w:r>
        <w:t>о результатах стресс-тестирования и принятых мерах по ограничению уровня процентного риска по результатам стресс-тестирования;</w:t>
      </w:r>
    </w:p>
    <w:p w:rsidR="00230A2C" w:rsidRDefault="00A55E95">
      <w:pPr>
        <w:pStyle w:val="17"/>
        <w:widowControl/>
        <w:shd w:val="clear" w:color="auto" w:fill="auto"/>
        <w:ind w:firstLine="709"/>
      </w:pPr>
      <w:r>
        <w:t>- возможные корректирующие действия в стрессовых ситуациях в Обществе.</w:t>
      </w:r>
    </w:p>
    <w:p w:rsidR="00230A2C" w:rsidRDefault="00A55E95">
      <w:pPr>
        <w:pStyle w:val="17"/>
        <w:widowControl/>
        <w:shd w:val="clear" w:color="auto" w:fill="auto"/>
        <w:ind w:firstLine="709"/>
      </w:pPr>
      <w:r>
        <w:rPr>
          <w:spacing w:val="-8"/>
        </w:rPr>
        <w:t xml:space="preserve">3.3.11. Стресс-тестирование по процентному риску </w:t>
      </w:r>
      <w:r>
        <w:t>Общества должно проводиться владельцем риска не реже чем один раз в год.</w:t>
      </w:r>
    </w:p>
    <w:p w:rsidR="00230A2C" w:rsidRDefault="00A55E95">
      <w:pPr>
        <w:pStyle w:val="17"/>
        <w:widowControl/>
        <w:shd w:val="clear" w:color="auto" w:fill="auto"/>
        <w:ind w:firstLine="709"/>
        <w:rPr>
          <w:spacing w:val="-6"/>
        </w:rPr>
      </w:pPr>
      <w:r>
        <w:t>3.3.12. Результаты стресс-тестирования по процентному риску</w:t>
      </w:r>
      <w:r>
        <w:rPr>
          <w:spacing w:val="-8"/>
        </w:rPr>
        <w:t xml:space="preserve"> предоставляются владельцем (совладельцем) процентного риска органу управления </w:t>
      </w:r>
      <w:r>
        <w:rPr>
          <w:spacing w:val="-4"/>
        </w:rPr>
        <w:t xml:space="preserve">Общества </w:t>
      </w:r>
      <w:r>
        <w:rPr>
          <w:spacing w:val="-8"/>
        </w:rPr>
        <w:t xml:space="preserve">и в </w:t>
      </w:r>
      <w:r>
        <w:rPr>
          <w:spacing w:val="-6"/>
        </w:rPr>
        <w:t xml:space="preserve">ПУРиВК </w:t>
      </w:r>
      <w:r>
        <w:t>Общества в установленном порядке не реже одного раза в год.</w:t>
      </w:r>
    </w:p>
    <w:p w:rsidR="00230A2C" w:rsidRDefault="00A55E95">
      <w:pPr>
        <w:pStyle w:val="17"/>
        <w:widowControl/>
        <w:shd w:val="clear" w:color="auto" w:fill="auto"/>
        <w:ind w:firstLine="709"/>
      </w:pPr>
      <w:r>
        <w:t>Результаты стресс-тестирования по процентному риску могут агрегироваться с результатами стресс-тестирования по другим рискам в целях определения совокупных потерь для Общества в условиях рассчитываемой кризисной ситуации (интегральное стресс-тестирование).</w:t>
      </w:r>
    </w:p>
    <w:p w:rsidR="00230A2C" w:rsidRDefault="00A55E95">
      <w:pPr>
        <w:pStyle w:val="17"/>
        <w:widowControl/>
        <w:shd w:val="clear" w:color="auto" w:fill="auto"/>
        <w:ind w:firstLine="709"/>
      </w:pPr>
      <w:r>
        <w:t xml:space="preserve">3.3.13. Результаты стресс-тестирования могут применяться владельцем процентного риска при разработке предложений по допустимому уровню </w:t>
      </w:r>
      <w:r>
        <w:lastRenderedPageBreak/>
        <w:t>процентного риска и предельно допустимому уровню процентного риска и разработке мероприятий по управлению процентным риском.</w:t>
      </w:r>
    </w:p>
    <w:p w:rsidR="00230A2C" w:rsidRDefault="00A55E95">
      <w:pPr>
        <w:pStyle w:val="17"/>
        <w:widowControl/>
        <w:numPr>
          <w:ilvl w:val="2"/>
          <w:numId w:val="18"/>
        </w:numPr>
        <w:shd w:val="clear" w:color="auto" w:fill="auto"/>
        <w:tabs>
          <w:tab w:val="left" w:pos="1383"/>
          <w:tab w:val="left" w:pos="1560"/>
        </w:tabs>
        <w:ind w:left="0" w:firstLine="709"/>
      </w:pPr>
      <w:r>
        <w:t>Разрабатываемые (на основании локальных нормативных актов ПАО «Газпром») владельцами (совладельцами) процентного риска методические подходы при управлении процентным риском, методы (методики) оценки процентного риска должны охватывать все существенные источники процентного риска, присущие проводимым сделкам, чувствительным к изменению процентных ставок.</w:t>
      </w:r>
    </w:p>
    <w:p w:rsidR="00230A2C" w:rsidRDefault="00A55E95">
      <w:pPr>
        <w:pStyle w:val="17"/>
        <w:widowControl/>
        <w:numPr>
          <w:ilvl w:val="2"/>
          <w:numId w:val="18"/>
        </w:numPr>
        <w:shd w:val="clear" w:color="auto" w:fill="auto"/>
        <w:tabs>
          <w:tab w:val="left" w:pos="1388"/>
          <w:tab w:val="left" w:pos="1560"/>
        </w:tabs>
        <w:ind w:left="0" w:firstLine="709"/>
      </w:pPr>
      <w:r>
        <w:t>Принятые в рамках методологии оценки процентного риска допущения (например, используемые при определении сроков погашения (исполнения) активов, обязательств (пассивов), а также их стоимости) должны быть зафиксированы в методических подходах, методах (методиках) по оценке процентного риска.</w:t>
      </w:r>
    </w:p>
    <w:p w:rsidR="00230A2C" w:rsidRDefault="00A55E95">
      <w:pPr>
        <w:pStyle w:val="17"/>
        <w:widowControl/>
        <w:shd w:val="clear" w:color="auto" w:fill="auto"/>
        <w:ind w:firstLine="709"/>
      </w:pPr>
      <w:r>
        <w:t>3.3.16. Для определения значимости уровня процентного риска владельцами риска может применяться качественная оценка процентного риска в соответствии с Методическими рекомендациями, которая основана на экспертных оценках вероятности и существенности финансовых и нефинансовых последствий реализации процентного риска.</w:t>
      </w:r>
    </w:p>
    <w:p w:rsidR="00230A2C" w:rsidRDefault="00A55E95">
      <w:pPr>
        <w:pStyle w:val="2"/>
        <w:numPr>
          <w:ilvl w:val="1"/>
          <w:numId w:val="14"/>
        </w:numPr>
        <w:spacing w:before="120"/>
        <w:ind w:left="0" w:firstLine="709"/>
        <w:jc w:val="both"/>
        <w:rPr>
          <w:rFonts w:ascii="Times New Roman" w:hAnsi="Times New Roman"/>
        </w:rPr>
      </w:pPr>
      <w:bookmarkStart w:id="32" w:name="bookmark10"/>
      <w:bookmarkStart w:id="33" w:name="_Toc178597941"/>
      <w:r>
        <w:rPr>
          <w:rFonts w:ascii="Times New Roman" w:eastAsia="Times New Roman" w:hAnsi="Times New Roman"/>
        </w:rPr>
        <w:t>Реагирование на процентный риск.</w:t>
      </w:r>
      <w:bookmarkEnd w:id="32"/>
      <w:r>
        <w:rPr>
          <w:rFonts w:ascii="Times New Roman" w:eastAsia="Times New Roman" w:hAnsi="Times New Roman"/>
        </w:rPr>
        <w:t xml:space="preserve"> Мероприятия по управлению процентным риском</w:t>
      </w:r>
      <w:bookmarkEnd w:id="33"/>
    </w:p>
    <w:p w:rsidR="00230A2C" w:rsidRDefault="00A55E95">
      <w:pPr>
        <w:pStyle w:val="17"/>
        <w:widowControl/>
        <w:numPr>
          <w:ilvl w:val="2"/>
          <w:numId w:val="14"/>
        </w:numPr>
        <w:shd w:val="clear" w:color="auto" w:fill="auto"/>
        <w:ind w:left="0" w:firstLine="709"/>
      </w:pPr>
      <w:r>
        <w:t>Основные положения в части реагирования на процентный риск, а также в части разработки и реализации мероприятий по управлению процентным риском соответствуют положениям Политики и Положения УФР.</w:t>
      </w:r>
    </w:p>
    <w:p w:rsidR="00230A2C" w:rsidRDefault="00A55E95">
      <w:pPr>
        <w:pStyle w:val="17"/>
        <w:widowControl/>
        <w:shd w:val="clear" w:color="auto" w:fill="auto"/>
        <w:ind w:firstLine="709"/>
      </w:pPr>
      <w:r>
        <w:t>Мероприятия (инструменты) управления рисками разрабатываются и применяются с целью уменьшения вероятности реализации неблагоприятных событий и негативных последствий при возникновении финансовых потерь у Общества, связанных с реализацией процентного риска.</w:t>
      </w:r>
    </w:p>
    <w:p w:rsidR="00230A2C" w:rsidRDefault="00A55E95">
      <w:pPr>
        <w:pStyle w:val="17"/>
        <w:widowControl/>
        <w:shd w:val="clear" w:color="auto" w:fill="auto"/>
        <w:ind w:firstLine="709"/>
      </w:pPr>
      <w:r>
        <w:t>3.4.2. Настоящее Положение уточняет, что основными мероприятиями по управлению процентным риском являются:</w:t>
      </w:r>
    </w:p>
    <w:p w:rsidR="00230A2C" w:rsidRDefault="00A55E95">
      <w:pPr>
        <w:pStyle w:val="17"/>
        <w:widowControl/>
        <w:shd w:val="clear" w:color="auto" w:fill="auto"/>
        <w:ind w:firstLine="709"/>
      </w:pPr>
      <w:r>
        <w:t>- изменение договорных (контрактных) условий, перезаключение договоров с учетом рыночных процентных ставок, ревизия стоимости привлеченных обязательств;</w:t>
      </w:r>
    </w:p>
    <w:p w:rsidR="00230A2C" w:rsidRDefault="00A55E95">
      <w:pPr>
        <w:pStyle w:val="17"/>
        <w:widowControl/>
        <w:shd w:val="clear" w:color="auto" w:fill="auto"/>
        <w:ind w:firstLine="709"/>
      </w:pPr>
      <w:r>
        <w:t xml:space="preserve">- оптимизация срочной структуры портфеля привлечений/размещений; </w:t>
      </w:r>
    </w:p>
    <w:p w:rsidR="00230A2C" w:rsidRDefault="00A55E95">
      <w:pPr>
        <w:pStyle w:val="17"/>
        <w:widowControl/>
        <w:shd w:val="clear" w:color="auto" w:fill="auto"/>
        <w:ind w:firstLine="709"/>
      </w:pPr>
      <w:r>
        <w:t xml:space="preserve">- размещение активов в низкорискованных доходных инструментах; </w:t>
      </w:r>
    </w:p>
    <w:p w:rsidR="00230A2C" w:rsidRDefault="00A55E95">
      <w:pPr>
        <w:pStyle w:val="17"/>
        <w:widowControl/>
        <w:shd w:val="clear" w:color="auto" w:fill="auto"/>
        <w:ind w:firstLine="709"/>
      </w:pPr>
      <w:r>
        <w:t>- использование биржевых и внебиржевых производных финансовых инструментов (в том числе валютно-процентные свопы, опционы);</w:t>
      </w:r>
    </w:p>
    <w:p w:rsidR="00230A2C" w:rsidRDefault="00A55E95">
      <w:pPr>
        <w:pStyle w:val="17"/>
        <w:widowControl/>
        <w:shd w:val="clear" w:color="auto" w:fill="auto"/>
        <w:ind w:firstLine="709"/>
        <w:rPr>
          <w:spacing w:val="-6"/>
        </w:rPr>
      </w:pPr>
      <w:r>
        <w:rPr>
          <w:spacing w:val="-6"/>
        </w:rPr>
        <w:t xml:space="preserve">- использование прочих инструментов, предусмотренных законодательством и нормативными документами ПАО «Газпром», МРГ и разрабатываемыми на их основе нормативными документами </w:t>
      </w:r>
      <w:r>
        <w:t>Общества</w:t>
      </w:r>
      <w:r>
        <w:rPr>
          <w:spacing w:val="-6"/>
        </w:rPr>
        <w:t>.</w:t>
      </w:r>
    </w:p>
    <w:p w:rsidR="00230A2C" w:rsidRDefault="00A55E95">
      <w:pPr>
        <w:pStyle w:val="2"/>
        <w:numPr>
          <w:ilvl w:val="1"/>
          <w:numId w:val="14"/>
        </w:numPr>
        <w:spacing w:before="120"/>
        <w:ind w:left="0" w:firstLine="709"/>
        <w:jc w:val="both"/>
        <w:rPr>
          <w:rFonts w:ascii="Times New Roman" w:hAnsi="Times New Roman"/>
        </w:rPr>
      </w:pPr>
      <w:bookmarkStart w:id="34" w:name="bookmark11"/>
      <w:bookmarkStart w:id="35" w:name="_Toc178597942"/>
      <w:r>
        <w:rPr>
          <w:rFonts w:ascii="Times New Roman" w:eastAsia="Times New Roman" w:hAnsi="Times New Roman"/>
        </w:rPr>
        <w:lastRenderedPageBreak/>
        <w:t>Мониторинг процентного риска и мероприятий по управлению процентным риском</w:t>
      </w:r>
      <w:bookmarkEnd w:id="34"/>
      <w:bookmarkEnd w:id="35"/>
    </w:p>
    <w:p w:rsidR="00230A2C" w:rsidRDefault="00A55E95">
      <w:pPr>
        <w:pStyle w:val="17"/>
        <w:widowControl/>
        <w:shd w:val="clear" w:color="auto" w:fill="auto"/>
        <w:ind w:firstLine="709"/>
      </w:pPr>
      <w:r>
        <w:t>Основные положения в части мониторинга процентного риска и выполнения мероприятий по управлению процентным риском соответствуют положениям Политики.</w:t>
      </w:r>
    </w:p>
    <w:p w:rsidR="00230A2C" w:rsidRDefault="00A55E95">
      <w:pPr>
        <w:pStyle w:val="17"/>
        <w:widowControl/>
        <w:shd w:val="clear" w:color="auto" w:fill="auto"/>
        <w:ind w:firstLine="709"/>
      </w:pPr>
      <w:r>
        <w:t>Настоящее Положение уточняет следующие особенности:</w:t>
      </w:r>
    </w:p>
    <w:p w:rsidR="00230A2C" w:rsidRDefault="00A55E95">
      <w:pPr>
        <w:pStyle w:val="17"/>
        <w:widowControl/>
        <w:shd w:val="clear" w:color="auto" w:fill="auto"/>
        <w:ind w:firstLine="709"/>
        <w:rPr>
          <w:spacing w:val="-6"/>
        </w:rPr>
      </w:pPr>
      <w:r>
        <w:rPr>
          <w:spacing w:val="-6"/>
        </w:rPr>
        <w:t xml:space="preserve">3.5.1. Мониторинг процентного риска и мероприятий по управлению процентным риском осуществляется владельцами (совладельцами) процентного риска и другими работниками </w:t>
      </w:r>
      <w:r>
        <w:t>Общества</w:t>
      </w:r>
      <w:r>
        <w:rPr>
          <w:spacing w:val="-6"/>
        </w:rPr>
        <w:t>, принимающими участие в процессе управления процентным риском, в соответствии с установленным в </w:t>
      </w:r>
      <w:r>
        <w:t xml:space="preserve">Обществе </w:t>
      </w:r>
      <w:r>
        <w:rPr>
          <w:spacing w:val="-6"/>
        </w:rPr>
        <w:t>распределением полномочий и обязанностей на регулярной основе в целях своевременного выявления изменения уровня процентного риска, разработки и реализации мероприятий по управлению процентным риском.</w:t>
      </w:r>
    </w:p>
    <w:p w:rsidR="00230A2C" w:rsidRDefault="00A55E95">
      <w:pPr>
        <w:pStyle w:val="17"/>
        <w:widowControl/>
        <w:shd w:val="clear" w:color="auto" w:fill="auto"/>
        <w:ind w:firstLine="709"/>
      </w:pPr>
      <w:r>
        <w:t>3.5.2. Для целей осуществления контроля за уровнем процентного риска и соблюдением установленных лимитов на процентный риск предусматривается мониторинг операций с финансовыми инструментами, чувствительными к изменению процентных ставок.</w:t>
      </w:r>
    </w:p>
    <w:p w:rsidR="00230A2C" w:rsidRDefault="00A55E95">
      <w:pPr>
        <w:pStyle w:val="17"/>
        <w:widowControl/>
        <w:shd w:val="clear" w:color="auto" w:fill="auto"/>
        <w:ind w:firstLine="709"/>
        <w:rPr>
          <w:spacing w:val="-8"/>
        </w:rPr>
      </w:pPr>
      <w:r>
        <w:rPr>
          <w:spacing w:val="-8"/>
        </w:rPr>
        <w:t>3.5.3. В процессе мониторинга процентного риска и выполнения мероприятий по управлению процентным риском владелец (совладелец) процентного риска в рамках своей компетенции осуществляет:</w:t>
      </w:r>
    </w:p>
    <w:p w:rsidR="00230A2C" w:rsidRDefault="00A55E95">
      <w:pPr>
        <w:pStyle w:val="17"/>
        <w:widowControl/>
        <w:shd w:val="clear" w:color="auto" w:fill="auto"/>
        <w:ind w:firstLine="709"/>
      </w:pPr>
      <w:r>
        <w:t>- ежедневный мониторинг текущего состояния процентных ставок на финансовых рынках;</w:t>
      </w:r>
    </w:p>
    <w:p w:rsidR="00230A2C" w:rsidRDefault="00A55E95">
      <w:pPr>
        <w:pStyle w:val="17"/>
        <w:widowControl/>
        <w:shd w:val="clear" w:color="auto" w:fill="auto"/>
        <w:ind w:firstLine="709"/>
      </w:pPr>
      <w:r>
        <w:t>- ежедневный мониторинг изменения процентных ставок по активам (инвестициям) и пассивам в Обществе в разрезе отдельных позиций;</w:t>
      </w:r>
    </w:p>
    <w:p w:rsidR="00230A2C" w:rsidRDefault="00A55E95">
      <w:pPr>
        <w:pStyle w:val="17"/>
        <w:widowControl/>
        <w:shd w:val="clear" w:color="auto" w:fill="auto"/>
        <w:ind w:firstLine="709"/>
      </w:pPr>
      <w:r>
        <w:t xml:space="preserve">- ежедневный контроль за соблюдением лимитов на процентный риск; </w:t>
      </w:r>
    </w:p>
    <w:p w:rsidR="00230A2C" w:rsidRDefault="00A55E95">
      <w:pPr>
        <w:pStyle w:val="17"/>
        <w:widowControl/>
        <w:shd w:val="clear" w:color="auto" w:fill="auto"/>
        <w:ind w:firstLine="709"/>
      </w:pPr>
      <w:r>
        <w:t>- контроль за проводимыми сделками (размещение временно свободных денежных средств или привлечение денежных средств) Общества;</w:t>
      </w:r>
    </w:p>
    <w:p w:rsidR="00230A2C" w:rsidRDefault="00A55E95">
      <w:pPr>
        <w:pStyle w:val="17"/>
        <w:widowControl/>
        <w:shd w:val="clear" w:color="auto" w:fill="auto"/>
        <w:ind w:firstLine="709"/>
      </w:pPr>
      <w:r>
        <w:t>- контроль за активами и обязательствами (пассивами), чувствительными к изменениям процентных ставок, объемами процентного риска по агрегированным позициям по ПФИ, чувствительным к изменению процентных ставок;</w:t>
      </w:r>
    </w:p>
    <w:p w:rsidR="00230A2C" w:rsidRDefault="00A55E95">
      <w:pPr>
        <w:pStyle w:val="17"/>
        <w:widowControl/>
        <w:shd w:val="clear" w:color="auto" w:fill="auto"/>
        <w:ind w:firstLine="709"/>
      </w:pPr>
      <w:r>
        <w:t>- регулярную количественную оценку процентного риска (в том числе методами VaR, с помощью стресс-тестирования, гэп-анализа).</w:t>
      </w:r>
    </w:p>
    <w:p w:rsidR="00230A2C" w:rsidRDefault="00A55E95">
      <w:pPr>
        <w:pStyle w:val="17"/>
        <w:widowControl/>
        <w:shd w:val="clear" w:color="auto" w:fill="auto"/>
        <w:ind w:firstLine="709"/>
      </w:pPr>
      <w:r>
        <w:t>3.5.4. В ходе мониторинга процентного риска владелец (совладелец) процентного риска может выявить новые факторы процентного риска, информация о которых должна фиксироваться и предоставляться для учета в ПУРиВК Общества в рамках отчетности по рискам.</w:t>
      </w:r>
    </w:p>
    <w:p w:rsidR="00230A2C" w:rsidRDefault="00A55E95">
      <w:pPr>
        <w:pStyle w:val="17"/>
        <w:widowControl/>
        <w:shd w:val="clear" w:color="auto" w:fill="auto"/>
        <w:ind w:firstLine="709"/>
      </w:pPr>
      <w:r>
        <w:t xml:space="preserve">3.5.5. В случае неблагоприятных изменений уровня процентного риска (в том числе нарушения лимита на процентный риск) владелец (совладелец) процентного риска информирует об этом орган управления </w:t>
      </w:r>
      <w:r>
        <w:rPr>
          <w:spacing w:val="-4"/>
        </w:rPr>
        <w:t xml:space="preserve">Общества </w:t>
      </w:r>
      <w:r>
        <w:t>и ПУРиВК Общества и других участников процесса управления процентным риском, разрабатывает и реализует мероприятия по управлению процентным риском.</w:t>
      </w:r>
    </w:p>
    <w:p w:rsidR="00230A2C" w:rsidRDefault="00A55E95">
      <w:pPr>
        <w:pStyle w:val="17"/>
        <w:widowControl/>
        <w:shd w:val="clear" w:color="auto" w:fill="auto"/>
        <w:ind w:firstLine="709"/>
      </w:pPr>
      <w:r>
        <w:lastRenderedPageBreak/>
        <w:t>3.5.6. В случае реализации процентного риска участники управления процентным риском осуществляют мероприятия по снижению последствий реализации процентного риска в порядке, предусмотренном локальными нормативными актами ПАО «Газпром», МРГ и внутренними распорядительными документами Общества.</w:t>
      </w:r>
    </w:p>
    <w:p w:rsidR="00230A2C" w:rsidRDefault="00A55E95">
      <w:pPr>
        <w:pStyle w:val="17"/>
        <w:widowControl/>
        <w:shd w:val="clear" w:color="auto" w:fill="auto"/>
        <w:tabs>
          <w:tab w:val="left" w:pos="709"/>
        </w:tabs>
        <w:ind w:firstLine="709"/>
      </w:pPr>
      <w:r>
        <w:t>3.5.7. ПУРиВК Общества выполняет контроль эффективности реализации процессов управления процентным риском Общества, включая мониторинг:</w:t>
      </w:r>
    </w:p>
    <w:p w:rsidR="00230A2C" w:rsidRDefault="00A55E95">
      <w:pPr>
        <w:pStyle w:val="17"/>
        <w:widowControl/>
        <w:shd w:val="clear" w:color="auto" w:fill="auto"/>
        <w:tabs>
          <w:tab w:val="left" w:pos="709"/>
        </w:tabs>
        <w:ind w:firstLine="740"/>
      </w:pPr>
      <w:r>
        <w:t>- соблюдения, актуализации локальных нормативных актов Общества в области управления рисками;</w:t>
      </w:r>
    </w:p>
    <w:p w:rsidR="00230A2C" w:rsidRDefault="00A55E95">
      <w:pPr>
        <w:pStyle w:val="17"/>
        <w:widowControl/>
        <w:shd w:val="clear" w:color="auto" w:fill="auto"/>
        <w:tabs>
          <w:tab w:val="left" w:pos="709"/>
        </w:tabs>
        <w:ind w:firstLine="740"/>
      </w:pPr>
      <w:r>
        <w:t>- соблюдения принципа разделения полномочий и обязанностей в рамках процессов управления процентным риском;</w:t>
      </w:r>
    </w:p>
    <w:p w:rsidR="00230A2C" w:rsidRDefault="00A55E95">
      <w:pPr>
        <w:pStyle w:val="17"/>
        <w:widowControl/>
        <w:shd w:val="clear" w:color="auto" w:fill="auto"/>
        <w:tabs>
          <w:tab w:val="left" w:pos="709"/>
        </w:tabs>
        <w:ind w:firstLine="740"/>
      </w:pPr>
      <w:r>
        <w:t>- соблюдения принципа недопустимости спекулятивных подходов при управлении процентным риском;</w:t>
      </w:r>
    </w:p>
    <w:p w:rsidR="00230A2C" w:rsidRDefault="00A55E95">
      <w:pPr>
        <w:pStyle w:val="17"/>
        <w:widowControl/>
        <w:shd w:val="clear" w:color="auto" w:fill="auto"/>
        <w:ind w:firstLine="740"/>
      </w:pPr>
      <w:r>
        <w:t>- эффективности мероприятий по управлению процентным риском, в том числе лимитов на процентный риск и используемых типов финансовых инструментов;</w:t>
      </w:r>
    </w:p>
    <w:p w:rsidR="00230A2C" w:rsidRDefault="00A55E95">
      <w:pPr>
        <w:pStyle w:val="17"/>
        <w:widowControl/>
        <w:shd w:val="clear" w:color="auto" w:fill="auto"/>
        <w:ind w:firstLine="740"/>
      </w:pPr>
      <w:r>
        <w:t>- проводимых операций на предмет соответствия условиям рыночной конъюнктуры.</w:t>
      </w:r>
    </w:p>
    <w:p w:rsidR="00230A2C" w:rsidRDefault="00A55E95">
      <w:pPr>
        <w:pStyle w:val="17"/>
        <w:widowControl/>
        <w:shd w:val="clear" w:color="auto" w:fill="auto"/>
        <w:spacing w:after="100"/>
        <w:ind w:firstLine="740"/>
      </w:pPr>
      <w:r>
        <w:t xml:space="preserve">Результаты мониторинга представляются ПУРиВК Общества по запросу органа управления </w:t>
      </w:r>
      <w:r>
        <w:rPr>
          <w:spacing w:val="-4"/>
        </w:rPr>
        <w:t>Общества</w:t>
      </w:r>
      <w:r>
        <w:t>.</w:t>
      </w:r>
    </w:p>
    <w:p w:rsidR="00230A2C" w:rsidRDefault="00A55E95">
      <w:pPr>
        <w:pStyle w:val="2"/>
        <w:numPr>
          <w:ilvl w:val="1"/>
          <w:numId w:val="14"/>
        </w:numPr>
        <w:spacing w:before="120"/>
        <w:ind w:left="0" w:firstLine="709"/>
        <w:jc w:val="both"/>
        <w:rPr>
          <w:rFonts w:ascii="Times New Roman" w:hAnsi="Times New Roman"/>
        </w:rPr>
      </w:pPr>
      <w:bookmarkStart w:id="36" w:name="bookmark12"/>
      <w:bookmarkStart w:id="37" w:name="_Toc178597943"/>
      <w:r>
        <w:rPr>
          <w:rFonts w:ascii="Times New Roman" w:eastAsia="Times New Roman" w:hAnsi="Times New Roman"/>
        </w:rPr>
        <w:t>Отчетность и обмен информацией в рамках управления процентным риск</w:t>
      </w:r>
      <w:bookmarkEnd w:id="36"/>
      <w:r>
        <w:rPr>
          <w:rFonts w:ascii="Times New Roman" w:eastAsia="Times New Roman" w:hAnsi="Times New Roman"/>
        </w:rPr>
        <w:t>ом</w:t>
      </w:r>
      <w:bookmarkEnd w:id="37"/>
    </w:p>
    <w:p w:rsidR="00230A2C" w:rsidRDefault="00A55E95">
      <w:pPr>
        <w:pStyle w:val="17"/>
        <w:widowControl/>
        <w:shd w:val="clear" w:color="auto" w:fill="auto"/>
        <w:ind w:firstLine="709"/>
      </w:pPr>
      <w:r>
        <w:t>Основные положения в части отчетности и обмена информацией по процентному риску соответствуют положениям Политики.</w:t>
      </w:r>
    </w:p>
    <w:p w:rsidR="00230A2C" w:rsidRDefault="00A55E95">
      <w:pPr>
        <w:pStyle w:val="17"/>
        <w:widowControl/>
        <w:shd w:val="clear" w:color="auto" w:fill="auto"/>
        <w:ind w:firstLine="709"/>
      </w:pPr>
      <w:r>
        <w:t>Настоящее Положение уточняет следующие особенности:</w:t>
      </w:r>
    </w:p>
    <w:p w:rsidR="00230A2C" w:rsidRDefault="00A55E95">
      <w:pPr>
        <w:pStyle w:val="17"/>
        <w:widowControl/>
        <w:numPr>
          <w:ilvl w:val="2"/>
          <w:numId w:val="14"/>
        </w:numPr>
        <w:shd w:val="clear" w:color="auto" w:fill="auto"/>
        <w:ind w:left="0" w:firstLine="709"/>
        <w:rPr>
          <w:spacing w:val="-4"/>
        </w:rPr>
      </w:pPr>
      <w:r>
        <w:rPr>
          <w:spacing w:val="-4"/>
        </w:rPr>
        <w:t>Отчетность по процентному риску формируется для:</w:t>
      </w:r>
    </w:p>
    <w:p w:rsidR="00230A2C" w:rsidRDefault="00A55E95">
      <w:pPr>
        <w:pStyle w:val="17"/>
        <w:widowControl/>
        <w:shd w:val="clear" w:color="auto" w:fill="auto"/>
        <w:ind w:firstLine="709"/>
        <w:rPr>
          <w:spacing w:val="-8"/>
        </w:rPr>
      </w:pPr>
      <w:r>
        <w:rPr>
          <w:spacing w:val="-8"/>
        </w:rPr>
        <w:t xml:space="preserve">- предоставления органу управления </w:t>
      </w:r>
      <w:r>
        <w:t xml:space="preserve">Общества </w:t>
      </w:r>
      <w:r>
        <w:rPr>
          <w:spacing w:val="-8"/>
        </w:rPr>
        <w:t xml:space="preserve">своевременной и систематизированной информации о процентном риске, факторах процентного риска, результатах оценки процентного риска и динамике изменения процентных ставок на рынке, принятых способах реагирования на процентный риск, составе и эффективности мероприятий по управлению процентным риском; </w:t>
      </w:r>
    </w:p>
    <w:p w:rsidR="00230A2C" w:rsidRDefault="00A55E95">
      <w:pPr>
        <w:pStyle w:val="17"/>
        <w:widowControl/>
        <w:shd w:val="clear" w:color="auto" w:fill="auto"/>
        <w:ind w:firstLine="709"/>
        <w:rPr>
          <w:spacing w:val="-4"/>
        </w:rPr>
      </w:pPr>
      <w:r>
        <w:rPr>
          <w:spacing w:val="-4"/>
        </w:rPr>
        <w:t xml:space="preserve">- оптимизации бизнес-процессов </w:t>
      </w:r>
      <w:r>
        <w:t>Общества</w:t>
      </w:r>
      <w:r>
        <w:rPr>
          <w:spacing w:val="-4"/>
        </w:rPr>
        <w:t>, порядка взаимодействия участников при управлении процентным риском.</w:t>
      </w:r>
    </w:p>
    <w:p w:rsidR="00230A2C" w:rsidRDefault="00A55E95">
      <w:pPr>
        <w:pStyle w:val="17"/>
        <w:widowControl/>
        <w:shd w:val="clear" w:color="auto" w:fill="auto"/>
        <w:ind w:firstLine="709"/>
        <w:rPr>
          <w:spacing w:val="-4"/>
        </w:rPr>
      </w:pPr>
      <w:r>
        <w:rPr>
          <w:spacing w:val="-4"/>
        </w:rPr>
        <w:t>3.6.2. Основными требованиями к управленческой отчетности по процентному риску являются релевантность, точность, достоверность, своевременность, полнота.</w:t>
      </w:r>
    </w:p>
    <w:p w:rsidR="00230A2C" w:rsidRDefault="00A55E95">
      <w:pPr>
        <w:pStyle w:val="17"/>
        <w:widowControl/>
        <w:shd w:val="clear" w:color="auto" w:fill="auto"/>
        <w:ind w:firstLine="709"/>
      </w:pPr>
      <w:r>
        <w:t>3.6.3. Формы и сроки формирования отчетности Общества устанавливаются:</w:t>
      </w:r>
    </w:p>
    <w:p w:rsidR="00230A2C" w:rsidRDefault="00A55E95">
      <w:pPr>
        <w:pStyle w:val="17"/>
        <w:widowControl/>
        <w:shd w:val="clear" w:color="auto" w:fill="auto"/>
        <w:ind w:firstLine="709"/>
        <w:rPr>
          <w:spacing w:val="-6"/>
        </w:rPr>
      </w:pPr>
      <w:r>
        <w:t xml:space="preserve">- для Общества </w:t>
      </w:r>
      <w:r>
        <w:rPr>
          <w:spacing w:val="-6"/>
        </w:rPr>
        <w:t>– ежегодным приказом МРГ о формах корпоративной периодической и годовой статистической отчетности.</w:t>
      </w:r>
    </w:p>
    <w:p w:rsidR="00230A2C" w:rsidRDefault="00A55E95">
      <w:pPr>
        <w:pStyle w:val="17"/>
        <w:widowControl/>
        <w:ind w:firstLine="709"/>
        <w:rPr>
          <w:spacing w:val="-6"/>
        </w:rPr>
      </w:pPr>
      <w:r>
        <w:rPr>
          <w:spacing w:val="-6"/>
        </w:rPr>
        <w:t xml:space="preserve">3.6.4. Формы отчетности </w:t>
      </w:r>
      <w:r>
        <w:t xml:space="preserve">Общества </w:t>
      </w:r>
      <w:r>
        <w:rPr>
          <w:spacing w:val="-6"/>
        </w:rPr>
        <w:t>по процентному риску должны содержать следующую информацию:</w:t>
      </w:r>
    </w:p>
    <w:p w:rsidR="00230A2C" w:rsidRDefault="00A55E95">
      <w:pPr>
        <w:pStyle w:val="17"/>
        <w:widowControl/>
        <w:ind w:firstLine="709"/>
        <w:rPr>
          <w:spacing w:val="-6"/>
        </w:rPr>
      </w:pPr>
      <w:r>
        <w:rPr>
          <w:spacing w:val="-6"/>
        </w:rPr>
        <w:t>- подверженность процентному риску на отчетную дату;</w:t>
      </w:r>
    </w:p>
    <w:p w:rsidR="00230A2C" w:rsidRDefault="00A55E95">
      <w:pPr>
        <w:pStyle w:val="17"/>
        <w:widowControl/>
        <w:ind w:firstLine="709"/>
        <w:rPr>
          <w:spacing w:val="-6"/>
        </w:rPr>
      </w:pPr>
      <w:r>
        <w:rPr>
          <w:spacing w:val="-6"/>
        </w:rPr>
        <w:lastRenderedPageBreak/>
        <w:t>- сведения о текущем состоянии процентных ставок на рынке и об их изменениях;</w:t>
      </w:r>
    </w:p>
    <w:p w:rsidR="00230A2C" w:rsidRDefault="00A55E95">
      <w:pPr>
        <w:pStyle w:val="17"/>
        <w:widowControl/>
        <w:ind w:firstLine="709"/>
        <w:rPr>
          <w:spacing w:val="-6"/>
        </w:rPr>
      </w:pPr>
      <w:r>
        <w:rPr>
          <w:spacing w:val="-6"/>
        </w:rPr>
        <w:t>- сведения о величине, динамике риска в отношении отдельных долговых инструментов и инвестиций;</w:t>
      </w:r>
    </w:p>
    <w:p w:rsidR="00230A2C" w:rsidRDefault="00A55E95">
      <w:pPr>
        <w:pStyle w:val="17"/>
        <w:widowControl/>
        <w:ind w:firstLine="709"/>
        <w:rPr>
          <w:spacing w:val="-6"/>
        </w:rPr>
      </w:pPr>
      <w:r>
        <w:rPr>
          <w:spacing w:val="-6"/>
        </w:rPr>
        <w:t>- сведения об уровне риска по агрегированным позициям по финансовым инструментам, чувствительным к изменению процентных ставок;</w:t>
      </w:r>
    </w:p>
    <w:p w:rsidR="00230A2C" w:rsidRDefault="00A55E95">
      <w:pPr>
        <w:pStyle w:val="17"/>
        <w:widowControl/>
        <w:ind w:firstLine="709"/>
        <w:rPr>
          <w:spacing w:val="-6"/>
        </w:rPr>
      </w:pPr>
      <w:r>
        <w:rPr>
          <w:spacing w:val="-6"/>
        </w:rPr>
        <w:t>- результаты стресс-тестирования;</w:t>
      </w:r>
    </w:p>
    <w:p w:rsidR="00230A2C" w:rsidRDefault="00A55E95">
      <w:pPr>
        <w:pStyle w:val="17"/>
        <w:widowControl/>
        <w:ind w:firstLine="709"/>
        <w:rPr>
          <w:spacing w:val="-6"/>
        </w:rPr>
      </w:pPr>
      <w:r>
        <w:rPr>
          <w:spacing w:val="-6"/>
        </w:rPr>
        <w:t>- результаты качественной и количественной оценки процентного риска;</w:t>
      </w:r>
    </w:p>
    <w:p w:rsidR="00230A2C" w:rsidRDefault="00A55E95">
      <w:pPr>
        <w:pStyle w:val="17"/>
        <w:widowControl/>
        <w:ind w:firstLine="709"/>
        <w:rPr>
          <w:spacing w:val="-6"/>
        </w:rPr>
      </w:pPr>
      <w:r>
        <w:rPr>
          <w:spacing w:val="-6"/>
        </w:rPr>
        <w:t>- прогнозные показатели по финансовым инструментам, чувствительным к изменению процентных ставок;</w:t>
      </w:r>
    </w:p>
    <w:p w:rsidR="00230A2C" w:rsidRDefault="00A55E95">
      <w:pPr>
        <w:pStyle w:val="17"/>
        <w:widowControl/>
        <w:ind w:firstLine="709"/>
        <w:rPr>
          <w:spacing w:val="-6"/>
        </w:rPr>
      </w:pPr>
      <w:r>
        <w:rPr>
          <w:spacing w:val="-6"/>
        </w:rPr>
        <w:t>- сведения о соответствии позиций по финансовым инструментам, чувствительным к изменению процентных ставок, установленным лимитам;</w:t>
      </w:r>
    </w:p>
    <w:p w:rsidR="00230A2C" w:rsidRDefault="00A55E95">
      <w:pPr>
        <w:pStyle w:val="17"/>
        <w:widowControl/>
        <w:ind w:firstLine="709"/>
        <w:rPr>
          <w:spacing w:val="-6"/>
        </w:rPr>
      </w:pPr>
      <w:r>
        <w:rPr>
          <w:spacing w:val="-6"/>
        </w:rPr>
        <w:t>- сведения о соблюдении лимитов на процентный риск, причинах и последствиях их превышения, принятых корректирующих мероприятиях;</w:t>
      </w:r>
    </w:p>
    <w:p w:rsidR="00230A2C" w:rsidRDefault="00A55E95">
      <w:pPr>
        <w:pStyle w:val="17"/>
        <w:widowControl/>
        <w:ind w:firstLine="709"/>
        <w:rPr>
          <w:spacing w:val="-6"/>
        </w:rPr>
      </w:pPr>
      <w:r>
        <w:rPr>
          <w:spacing w:val="-6"/>
        </w:rPr>
        <w:t>- случаи реализации процентного риска, финансовые и нефинансовые последствия реализации процентного риска;</w:t>
      </w:r>
    </w:p>
    <w:p w:rsidR="00230A2C" w:rsidRDefault="00A55E95">
      <w:pPr>
        <w:pStyle w:val="17"/>
        <w:widowControl/>
        <w:shd w:val="clear" w:color="auto" w:fill="auto"/>
        <w:ind w:firstLine="709"/>
        <w:rPr>
          <w:spacing w:val="-6"/>
        </w:rPr>
      </w:pPr>
      <w:r>
        <w:rPr>
          <w:spacing w:val="-6"/>
        </w:rPr>
        <w:t>- мероприятия по управлению процентным риском (мероприятия по смягчению последствий реализации процентного риска).</w:t>
      </w:r>
    </w:p>
    <w:p w:rsidR="00230A2C" w:rsidRDefault="00A55E95">
      <w:pPr>
        <w:pStyle w:val="17"/>
        <w:widowControl/>
        <w:ind w:firstLine="709"/>
        <w:rPr>
          <w:spacing w:val="-6"/>
        </w:rPr>
      </w:pPr>
      <w:r>
        <w:rPr>
          <w:spacing w:val="-6"/>
        </w:rPr>
        <w:t xml:space="preserve">3.6.5. В ежегодную отчетность </w:t>
      </w:r>
      <w:r>
        <w:t xml:space="preserve">Общества </w:t>
      </w:r>
      <w:r>
        <w:rPr>
          <w:spacing w:val="-6"/>
        </w:rPr>
        <w:t>включаются также:</w:t>
      </w:r>
    </w:p>
    <w:p w:rsidR="00230A2C" w:rsidRDefault="00A55E95">
      <w:pPr>
        <w:pStyle w:val="17"/>
        <w:widowControl/>
        <w:ind w:firstLine="709"/>
        <w:rPr>
          <w:spacing w:val="-6"/>
        </w:rPr>
      </w:pPr>
      <w:r>
        <w:rPr>
          <w:spacing w:val="-6"/>
        </w:rPr>
        <w:t xml:space="preserve">- сведения о соответствии (несоответствии) применяемых правил и процедур управления процентным риском, локальным нормативным актам ПАО «Газпром», МРГ и внутренним распорядительным документам </w:t>
      </w:r>
      <w:r>
        <w:t>Общества</w:t>
      </w:r>
      <w:r>
        <w:rPr>
          <w:spacing w:val="-6"/>
        </w:rPr>
        <w:t>;</w:t>
      </w:r>
    </w:p>
    <w:p w:rsidR="00230A2C" w:rsidRDefault="00A55E95">
      <w:pPr>
        <w:pStyle w:val="17"/>
        <w:widowControl/>
        <w:shd w:val="clear" w:color="auto" w:fill="auto"/>
        <w:ind w:firstLine="709"/>
        <w:rPr>
          <w:spacing w:val="-6"/>
        </w:rPr>
      </w:pPr>
      <w:r>
        <w:rPr>
          <w:spacing w:val="-6"/>
        </w:rPr>
        <w:t xml:space="preserve">- заключения подразделения внутреннего аудита </w:t>
      </w:r>
      <w:r>
        <w:t>Общества</w:t>
      </w:r>
      <w:r>
        <w:rPr>
          <w:spacing w:val="-6"/>
        </w:rPr>
        <w:t xml:space="preserve">, а также привлекаемых в установленном порядке </w:t>
      </w:r>
      <w:r>
        <w:t xml:space="preserve">Обществом </w:t>
      </w:r>
      <w:r>
        <w:rPr>
          <w:spacing w:val="-6"/>
        </w:rPr>
        <w:t>внешних аудиторов по оценке эффективности управления процентным риском.</w:t>
      </w:r>
    </w:p>
    <w:p w:rsidR="00230A2C" w:rsidRDefault="00A55E95">
      <w:pPr>
        <w:pStyle w:val="17"/>
        <w:widowControl/>
        <w:shd w:val="clear" w:color="auto" w:fill="auto"/>
        <w:ind w:firstLine="709"/>
        <w:rPr>
          <w:spacing w:val="-6"/>
        </w:rPr>
      </w:pPr>
      <w:r>
        <w:rPr>
          <w:spacing w:val="-6"/>
        </w:rPr>
        <w:t>3.6.6. Порядок и периодичность формирования отчетности по процентному риску определяются локальными нормативными актами ПАО</w:t>
      </w:r>
      <w:r>
        <w:rPr>
          <w:spacing w:val="-6"/>
          <w:lang w:val="en-US"/>
        </w:rPr>
        <w:t> </w:t>
      </w:r>
      <w:r>
        <w:rPr>
          <w:spacing w:val="-6"/>
        </w:rPr>
        <w:t xml:space="preserve">«Газпром», МРГ и </w:t>
      </w:r>
      <w:r>
        <w:t>Общества</w:t>
      </w:r>
      <w:r>
        <w:rPr>
          <w:spacing w:val="-6"/>
        </w:rPr>
        <w:t>.</w:t>
      </w:r>
    </w:p>
    <w:p w:rsidR="00230A2C" w:rsidRDefault="00A55E95">
      <w:pPr>
        <w:pStyle w:val="17"/>
        <w:widowControl/>
        <w:shd w:val="clear" w:color="auto" w:fill="auto"/>
        <w:ind w:firstLine="709"/>
      </w:pPr>
      <w:r>
        <w:t xml:space="preserve">3.6.7. Отчетность по процентному риску Общества хранится в информационно-управляющих системах Общества в течение срока, определенного законодательством и локальными нормативными актами Общества, разработанными на основании локальных нормативных актов ПАО «Газпром». </w:t>
      </w:r>
    </w:p>
    <w:p w:rsidR="00230A2C" w:rsidRDefault="00A55E95">
      <w:pPr>
        <w:pStyle w:val="2"/>
        <w:numPr>
          <w:ilvl w:val="1"/>
          <w:numId w:val="14"/>
        </w:numPr>
        <w:spacing w:before="120"/>
        <w:ind w:left="0" w:firstLine="709"/>
        <w:jc w:val="both"/>
        <w:rPr>
          <w:rFonts w:ascii="Times New Roman" w:hAnsi="Times New Roman"/>
        </w:rPr>
      </w:pPr>
      <w:bookmarkStart w:id="38" w:name="bookmark13"/>
      <w:bookmarkStart w:id="39" w:name="_Toc178597944"/>
      <w:r>
        <w:rPr>
          <w:rFonts w:ascii="Times New Roman" w:eastAsia="Times New Roman" w:hAnsi="Times New Roman"/>
        </w:rPr>
        <w:t>Оценка эффективности управления процентным риском</w:t>
      </w:r>
      <w:bookmarkEnd w:id="38"/>
      <w:bookmarkEnd w:id="39"/>
    </w:p>
    <w:p w:rsidR="00230A2C" w:rsidRDefault="00A55E95">
      <w:pPr>
        <w:pStyle w:val="17"/>
        <w:widowControl/>
        <w:numPr>
          <w:ilvl w:val="2"/>
          <w:numId w:val="14"/>
        </w:numPr>
        <w:shd w:val="clear" w:color="auto" w:fill="auto"/>
        <w:ind w:left="0" w:firstLine="709"/>
      </w:pPr>
      <w:r>
        <w:t>Оценка эффективности управления процентным риском проводится в соответствии с положениями Политики.</w:t>
      </w:r>
    </w:p>
    <w:p w:rsidR="00230A2C" w:rsidRDefault="00A55E95">
      <w:pPr>
        <w:pStyle w:val="17"/>
        <w:widowControl/>
        <w:numPr>
          <w:ilvl w:val="2"/>
          <w:numId w:val="14"/>
        </w:numPr>
        <w:shd w:val="clear" w:color="auto" w:fill="auto"/>
        <w:ind w:left="0" w:firstLine="709"/>
      </w:pPr>
      <w:r>
        <w:t>При проведении оценки эффективности управления процентным риском участники процесса управления процентным риском руководствуются методическими подходами и критериями эффективности, утвержденными в ПАО «Газпром», МРГ и Обществе.</w:t>
      </w:r>
    </w:p>
    <w:p w:rsidR="00230A2C" w:rsidRDefault="00A55E95">
      <w:pPr>
        <w:pStyle w:val="17"/>
        <w:widowControl/>
        <w:shd w:val="clear" w:color="auto" w:fill="auto"/>
        <w:ind w:firstLine="709"/>
      </w:pPr>
      <w:r>
        <w:t>3.7.3. Настоящее Положение уточняет следующее:</w:t>
      </w:r>
    </w:p>
    <w:p w:rsidR="00230A2C" w:rsidRDefault="00A55E95">
      <w:pPr>
        <w:pStyle w:val="17"/>
        <w:widowControl/>
        <w:shd w:val="clear" w:color="auto" w:fill="auto"/>
        <w:ind w:firstLine="709"/>
      </w:pPr>
      <w:r>
        <w:t>Оценка эффективности управления процентным риском проводится посредством процедур:</w:t>
      </w:r>
    </w:p>
    <w:p w:rsidR="00230A2C" w:rsidRDefault="00A55E95">
      <w:pPr>
        <w:pStyle w:val="17"/>
        <w:widowControl/>
        <w:shd w:val="clear" w:color="auto" w:fill="auto"/>
        <w:ind w:firstLine="709"/>
      </w:pPr>
      <w:r>
        <w:t xml:space="preserve">- самооценки эффективности управления процентным риском; </w:t>
      </w:r>
    </w:p>
    <w:p w:rsidR="00230A2C" w:rsidRDefault="00A55E95">
      <w:pPr>
        <w:pStyle w:val="17"/>
        <w:widowControl/>
        <w:shd w:val="clear" w:color="auto" w:fill="auto"/>
        <w:ind w:firstLine="709"/>
      </w:pPr>
      <w:r>
        <w:lastRenderedPageBreak/>
        <w:t xml:space="preserve">- внутренней оценки эффективности управления процентным риском; </w:t>
      </w:r>
    </w:p>
    <w:p w:rsidR="00230A2C" w:rsidRDefault="00A55E95">
      <w:pPr>
        <w:pStyle w:val="17"/>
        <w:widowControl/>
        <w:shd w:val="clear" w:color="auto" w:fill="auto"/>
        <w:ind w:firstLine="709"/>
      </w:pPr>
      <w:r>
        <w:t>- внешней оценки эффективности управления процентным риском.</w:t>
      </w:r>
    </w:p>
    <w:p w:rsidR="00230A2C" w:rsidRDefault="00A55E95">
      <w:pPr>
        <w:pStyle w:val="17"/>
        <w:widowControl/>
        <w:shd w:val="clear" w:color="auto" w:fill="auto"/>
        <w:ind w:firstLine="709"/>
      </w:pPr>
      <w:r>
        <w:t>3.7.4. Подходы к проведению оценки эффективности управления рисками установлены локальными нормативными актами Общества, разработанными на основании локальных нормативных актов ПАО «Газпром», МРГ в области управления рисками. Оценка управления процентным риском может быть проведена в составе общей оценки эффективности управления рисками Общества. По мере развития (повышения уровня зрелости) системы управления рисками Общества рекомендуется проведение специальных оценок эффективности управления процентным риском.</w:t>
      </w:r>
    </w:p>
    <w:p w:rsidR="00230A2C" w:rsidRDefault="00A55E95">
      <w:pPr>
        <w:pStyle w:val="17"/>
        <w:widowControl/>
        <w:ind w:firstLine="709"/>
      </w:pPr>
      <w:r>
        <w:t xml:space="preserve">Владельцы (совладельцы) процентного риска Общества осуществляют самооценку эффективности управления процентным риском для учета результатов при составлении сводной отчетности по рискам и отчетности по процентному риску. </w:t>
      </w:r>
    </w:p>
    <w:p w:rsidR="00230A2C" w:rsidRDefault="00A55E95">
      <w:pPr>
        <w:pStyle w:val="17"/>
        <w:widowControl/>
        <w:ind w:firstLine="709"/>
      </w:pPr>
      <w:r>
        <w:t>3.7.5. При проведении самооценки эффективности управления процентным риском владельцы (совладельцы) процентного риска Общества руководствуются методическими подходами и критериями эффективности, установленными локальными нормативными актами ПАО «Газпром», МРГ и внутренними распорядительными документами Общества.</w:t>
      </w:r>
    </w:p>
    <w:p w:rsidR="00230A2C" w:rsidRDefault="00A55E95">
      <w:pPr>
        <w:pStyle w:val="17"/>
        <w:widowControl/>
        <w:shd w:val="clear" w:color="auto" w:fill="auto"/>
        <w:ind w:firstLine="709"/>
      </w:pPr>
      <w:r>
        <w:t xml:space="preserve">3.7.6. Результаты самооценки управления процентным риском Общества направляются в ПУРиВК Общества для дальнейшего рассмотрения органом управления </w:t>
      </w:r>
      <w:r>
        <w:rPr>
          <w:spacing w:val="-4"/>
        </w:rPr>
        <w:t>Общества</w:t>
      </w:r>
      <w:r>
        <w:t>.</w:t>
      </w:r>
    </w:p>
    <w:p w:rsidR="00230A2C" w:rsidRDefault="00A55E95">
      <w:pPr>
        <w:pStyle w:val="17"/>
        <w:widowControl/>
        <w:shd w:val="clear" w:color="auto" w:fill="auto"/>
        <w:tabs>
          <w:tab w:val="left" w:pos="567"/>
          <w:tab w:val="left" w:pos="709"/>
        </w:tabs>
        <w:ind w:firstLine="709"/>
      </w:pPr>
      <w:r>
        <w:t>3.7.7. Внутренняя оценка эффективности управления процентным риском проводится следующими участниками процесса управления процентным риском:</w:t>
      </w:r>
    </w:p>
    <w:p w:rsidR="00230A2C" w:rsidRDefault="00A55E95">
      <w:pPr>
        <w:pStyle w:val="17"/>
        <w:widowControl/>
        <w:shd w:val="clear" w:color="auto" w:fill="auto"/>
        <w:tabs>
          <w:tab w:val="left" w:pos="709"/>
        </w:tabs>
        <w:ind w:firstLine="709"/>
      </w:pPr>
      <w:r>
        <w:t>на уровне Общества– подразделением (работником) внутреннего аудита Общества, подразделением (работником) внутреннего аудита МРГ, подразделением внутреннего аудита ПАО «Газпром» и владельцем процентного риска ПАО «Газпром» (в случае необходимости).</w:t>
      </w:r>
    </w:p>
    <w:p w:rsidR="00230A2C" w:rsidRDefault="00A55E95">
      <w:pPr>
        <w:pStyle w:val="17"/>
        <w:widowControl/>
        <w:shd w:val="clear" w:color="auto" w:fill="auto"/>
        <w:ind w:firstLine="709"/>
      </w:pPr>
      <w:r>
        <w:t xml:space="preserve">3.7.8. Результаты внутренней оценки управления процентным риском направляются подразделением (работником) внутреннего аудита </w:t>
      </w:r>
      <w:r>
        <w:rPr>
          <w:lang w:eastAsia="de-DE"/>
        </w:rPr>
        <w:t xml:space="preserve">Общества </w:t>
      </w:r>
      <w:r>
        <w:t xml:space="preserve">на рассмотрение органу управления </w:t>
      </w:r>
      <w:r>
        <w:rPr>
          <w:spacing w:val="-4"/>
        </w:rPr>
        <w:t>Общества</w:t>
      </w:r>
      <w:r>
        <w:t>.</w:t>
      </w:r>
    </w:p>
    <w:p w:rsidR="00230A2C" w:rsidRDefault="00A55E95">
      <w:pPr>
        <w:pStyle w:val="17"/>
        <w:widowControl/>
        <w:ind w:firstLine="709"/>
      </w:pPr>
      <w:r>
        <w:t>3.7.9. Внешняя оценка эффективности управления процентным риском проводится внешними (не входящими в Группу Газпром межрегионгаз организациями.</w:t>
      </w:r>
    </w:p>
    <w:p w:rsidR="00230A2C" w:rsidRDefault="00A55E95">
      <w:pPr>
        <w:pStyle w:val="17"/>
        <w:widowControl/>
        <w:ind w:firstLine="709"/>
      </w:pPr>
      <w:r>
        <w:t>3.7.10. Участники процесса управления процентным риском ПАО «Газпром» вправе инициировать внешнюю оценку эффективности Общества.</w:t>
      </w:r>
    </w:p>
    <w:p w:rsidR="00230A2C" w:rsidRDefault="00A55E95">
      <w:pPr>
        <w:pStyle w:val="17"/>
        <w:widowControl/>
        <w:ind w:firstLine="709"/>
      </w:pPr>
      <w:r>
        <w:t>3.7.11. Порядок и критерии выбора внешней организации для проведения внешней оценки, а также принципы взаимодействия с ней в рамках внешней оценки устанавливаются внутренними документами ПАО «Газпром», МРГ и Общества.</w:t>
      </w:r>
    </w:p>
    <w:p w:rsidR="00230A2C" w:rsidRDefault="00A55E95">
      <w:pPr>
        <w:pStyle w:val="17"/>
        <w:widowControl/>
        <w:shd w:val="clear" w:color="auto" w:fill="auto"/>
        <w:tabs>
          <w:tab w:val="left" w:pos="1418"/>
          <w:tab w:val="left" w:pos="1560"/>
        </w:tabs>
        <w:spacing w:before="60" w:after="144"/>
        <w:ind w:firstLine="709"/>
      </w:pPr>
      <w:r>
        <w:t>3.7.12. Результаты внешней оценки эффективности управления процентным риском Общества направляются всем участникам процесса управления процентным риском Общества.</w:t>
      </w:r>
    </w:p>
    <w:p w:rsidR="00230A2C" w:rsidRDefault="00A55E95">
      <w:pPr>
        <w:pStyle w:val="2"/>
        <w:numPr>
          <w:ilvl w:val="1"/>
          <w:numId w:val="14"/>
        </w:numPr>
        <w:spacing w:before="120"/>
        <w:ind w:left="142" w:firstLine="709"/>
        <w:jc w:val="both"/>
        <w:rPr>
          <w:rFonts w:ascii="Times New Roman" w:hAnsi="Times New Roman"/>
        </w:rPr>
      </w:pPr>
      <w:bookmarkStart w:id="40" w:name="bookmark14"/>
      <w:bookmarkStart w:id="41" w:name="_Toc178597945"/>
      <w:r>
        <w:rPr>
          <w:rFonts w:ascii="Times New Roman" w:eastAsia="Times New Roman" w:hAnsi="Times New Roman"/>
        </w:rPr>
        <w:lastRenderedPageBreak/>
        <w:t>Внутренний контроль управления процентным риском</w:t>
      </w:r>
      <w:bookmarkEnd w:id="40"/>
      <w:bookmarkEnd w:id="41"/>
    </w:p>
    <w:p w:rsidR="00230A2C" w:rsidRDefault="00A55E95">
      <w:pPr>
        <w:pStyle w:val="17"/>
        <w:widowControl/>
        <w:numPr>
          <w:ilvl w:val="2"/>
          <w:numId w:val="14"/>
        </w:numPr>
        <w:shd w:val="clear" w:color="auto" w:fill="auto"/>
        <w:ind w:left="0" w:firstLine="709"/>
      </w:pPr>
      <w:r>
        <w:t>Внутренний контроль управления процентным риском реализуется посредством разработки, внедрения и исполнения процедур внутреннего контроля, установленных в Обществе.</w:t>
      </w:r>
    </w:p>
    <w:p w:rsidR="00230A2C" w:rsidRDefault="00A55E95">
      <w:pPr>
        <w:pStyle w:val="17"/>
        <w:widowControl/>
        <w:numPr>
          <w:ilvl w:val="2"/>
          <w:numId w:val="19"/>
        </w:numPr>
        <w:shd w:val="clear" w:color="auto" w:fill="auto"/>
        <w:tabs>
          <w:tab w:val="left" w:pos="709"/>
        </w:tabs>
        <w:ind w:left="0" w:firstLine="709"/>
      </w:pPr>
      <w:r>
        <w:t xml:space="preserve">ПУРиВК Общества в рамках внутреннего контроля осуществляет: </w:t>
      </w:r>
    </w:p>
    <w:p w:rsidR="00230A2C" w:rsidRDefault="00A55E95">
      <w:pPr>
        <w:pStyle w:val="17"/>
        <w:widowControl/>
        <w:shd w:val="clear" w:color="auto" w:fill="auto"/>
        <w:tabs>
          <w:tab w:val="left" w:pos="1418"/>
        </w:tabs>
        <w:ind w:firstLine="709"/>
      </w:pPr>
      <w:r>
        <w:t>- формирование единой политики Общества по управлению процентным риском и внутреннему контролю в Группе Газпром межрегионгаз;</w:t>
      </w:r>
    </w:p>
    <w:p w:rsidR="00230A2C" w:rsidRDefault="00A55E95">
      <w:pPr>
        <w:pStyle w:val="17"/>
        <w:widowControl/>
        <w:shd w:val="clear" w:color="auto" w:fill="auto"/>
        <w:ind w:firstLine="709"/>
      </w:pPr>
      <w:r>
        <w:t>- методологическое обеспечение реализации единой политики по управлению процентным риском и внутреннему контролю в Группе Газпром межрегионгаз;</w:t>
      </w:r>
    </w:p>
    <w:p w:rsidR="00230A2C" w:rsidRDefault="00A55E95">
      <w:pPr>
        <w:pStyle w:val="17"/>
        <w:widowControl/>
        <w:shd w:val="clear" w:color="auto" w:fill="auto"/>
        <w:ind w:firstLine="709"/>
      </w:pPr>
      <w:r>
        <w:t>- разработку, внедрение, актуализацию методологии по организации внутреннего контроля в Обществе;</w:t>
      </w:r>
    </w:p>
    <w:p w:rsidR="00230A2C" w:rsidRDefault="00A55E95">
      <w:pPr>
        <w:pStyle w:val="17"/>
        <w:widowControl/>
        <w:shd w:val="clear" w:color="auto" w:fill="auto"/>
        <w:ind w:firstLine="709"/>
      </w:pPr>
      <w:r>
        <w:t>- координацию процессов внутреннего контроля в структурных подразделениях Общества, осуществление мониторинга процессов внутреннего контроля, реализуемых структурными подразделениями Общества с целью внедрения единых принципов и подходов к деятельности Общества в области внутреннего контроля;</w:t>
      </w:r>
    </w:p>
    <w:p w:rsidR="00230A2C" w:rsidRDefault="00A55E95">
      <w:pPr>
        <w:pStyle w:val="17"/>
        <w:widowControl/>
        <w:shd w:val="clear" w:color="auto" w:fill="auto"/>
        <w:ind w:firstLine="709"/>
      </w:pPr>
      <w:r>
        <w:t>- разработку и внедрение требований к контрольным процедурам и их составу в бизнес-процессах, включая унификацию и оптимизацию контрольных процедур;</w:t>
      </w:r>
    </w:p>
    <w:p w:rsidR="00230A2C" w:rsidRDefault="00A55E95">
      <w:pPr>
        <w:pStyle w:val="17"/>
        <w:widowControl/>
        <w:shd w:val="clear" w:color="auto" w:fill="auto"/>
        <w:ind w:firstLine="709"/>
      </w:pPr>
      <w:r>
        <w:t>- мониторинг соблюдения требований Общества в области управления процентным риском и внутреннего контроля, в том числе распределения и исполнения лимитов на процентный риск;</w:t>
      </w:r>
    </w:p>
    <w:p w:rsidR="00230A2C" w:rsidRDefault="00A55E95">
      <w:pPr>
        <w:pStyle w:val="17"/>
        <w:widowControl/>
        <w:shd w:val="clear" w:color="auto" w:fill="auto"/>
        <w:ind w:firstLine="709"/>
      </w:pPr>
      <w:r>
        <w:t>- выявление недостатков существующих контрольных процедур, разработку рекомендаций структурным подразделениям Общества по их устранению;</w:t>
      </w:r>
    </w:p>
    <w:p w:rsidR="00230A2C" w:rsidRDefault="00A55E95">
      <w:pPr>
        <w:pStyle w:val="17"/>
        <w:widowControl/>
        <w:shd w:val="clear" w:color="auto" w:fill="auto"/>
        <w:ind w:firstLine="709"/>
      </w:pPr>
      <w:r>
        <w:t>- контроль качества разработанных мероприятий по устранению недостатков контрольных процедур при их самостоятельной разработке структурными подразделениями Общества;</w:t>
      </w:r>
    </w:p>
    <w:p w:rsidR="00230A2C" w:rsidRDefault="00A55E95">
      <w:pPr>
        <w:pStyle w:val="17"/>
        <w:widowControl/>
        <w:shd w:val="clear" w:color="auto" w:fill="auto"/>
        <w:ind w:firstLine="709"/>
      </w:pPr>
      <w:r>
        <w:t>- систематизацию информации о недостатках существующих контрольных процедур, контроль за исполнением мероприятий по их устранению и формирование отчетности по системе внутреннего контроля и ее эффективности;</w:t>
      </w:r>
    </w:p>
    <w:p w:rsidR="00230A2C" w:rsidRDefault="00A55E95">
      <w:pPr>
        <w:pStyle w:val="17"/>
        <w:widowControl/>
        <w:shd w:val="clear" w:color="auto" w:fill="auto"/>
        <w:ind w:firstLine="709"/>
      </w:pPr>
      <w:r>
        <w:t>- формирование рекомендаций органу управления Общества по формализации контрольных процедур и повышению эффективности бизнес- процессов;</w:t>
      </w:r>
    </w:p>
    <w:p w:rsidR="00230A2C" w:rsidRDefault="00A55E95">
      <w:pPr>
        <w:pStyle w:val="17"/>
        <w:widowControl/>
        <w:shd w:val="clear" w:color="auto" w:fill="auto"/>
        <w:ind w:firstLine="709"/>
      </w:pPr>
      <w:r>
        <w:t>- разработку и внедрение механизма взаимодействия и обмена информацией по внутреннему контролю и управлению рисками бизнес- процессов между структурными подразделениями Общества, в том числе с использованием информационно-управляющих систем Общества.</w:t>
      </w:r>
    </w:p>
    <w:p w:rsidR="00230A2C" w:rsidRDefault="00A55E95">
      <w:pPr>
        <w:pStyle w:val="17"/>
        <w:widowControl/>
        <w:shd w:val="clear" w:color="auto" w:fill="auto"/>
        <w:tabs>
          <w:tab w:val="left" w:pos="1378"/>
        </w:tabs>
        <w:ind w:firstLine="709"/>
      </w:pPr>
      <w:r>
        <w:t xml:space="preserve">3.8.2. Подразделение (работник) внутреннего аудита </w:t>
      </w:r>
      <w:r>
        <w:rPr>
          <w:lang w:eastAsia="de-DE"/>
        </w:rPr>
        <w:t xml:space="preserve">Общества </w:t>
      </w:r>
      <w:r>
        <w:t>при оценке эффективности системы управления процентным риском в соответствии с планом проверок проводит проверку:</w:t>
      </w:r>
    </w:p>
    <w:p w:rsidR="00230A2C" w:rsidRDefault="00A55E95">
      <w:pPr>
        <w:pStyle w:val="17"/>
        <w:widowControl/>
        <w:shd w:val="clear" w:color="auto" w:fill="auto"/>
        <w:tabs>
          <w:tab w:val="left" w:pos="567"/>
        </w:tabs>
        <w:ind w:firstLine="709"/>
      </w:pPr>
      <w:r>
        <w:lastRenderedPageBreak/>
        <w:t>- соблюдения установленных правил и процедур управления процентным риском, методов количественной (качественной) оценки (измерения), принятых в них допущений и используемых параметров;</w:t>
      </w:r>
    </w:p>
    <w:p w:rsidR="00230A2C" w:rsidRDefault="00A55E95">
      <w:pPr>
        <w:pStyle w:val="17"/>
        <w:widowControl/>
        <w:shd w:val="clear" w:color="auto" w:fill="auto"/>
        <w:tabs>
          <w:tab w:val="left" w:pos="567"/>
        </w:tabs>
        <w:ind w:firstLine="709"/>
      </w:pPr>
      <w:r>
        <w:t>- соблюдения установленных лимитов на процентный риск;</w:t>
      </w:r>
    </w:p>
    <w:p w:rsidR="00230A2C" w:rsidRDefault="00A55E95">
      <w:pPr>
        <w:pStyle w:val="17"/>
        <w:widowControl/>
        <w:shd w:val="clear" w:color="auto" w:fill="auto"/>
        <w:tabs>
          <w:tab w:val="left" w:pos="567"/>
        </w:tabs>
        <w:ind w:firstLine="709"/>
      </w:pPr>
      <w:r>
        <w:t>- первичных документов и бухгалтерских счетов по проводимым операциям с финансовыми инструментами, чувствительными к изменению процентных ставок;</w:t>
      </w:r>
    </w:p>
    <w:p w:rsidR="00230A2C" w:rsidRDefault="00A55E95">
      <w:pPr>
        <w:pStyle w:val="17"/>
        <w:widowControl/>
        <w:shd w:val="clear" w:color="auto" w:fill="auto"/>
        <w:tabs>
          <w:tab w:val="left" w:pos="567"/>
        </w:tabs>
        <w:ind w:firstLine="709"/>
      </w:pPr>
      <w:r>
        <w:t>- соответствия законодательству локальных нормативных актов Общества в области внутреннего контроля и управления процентным риском.</w:t>
      </w:r>
    </w:p>
    <w:p w:rsidR="00230A2C" w:rsidRDefault="00A55E95">
      <w:pPr>
        <w:pStyle w:val="17"/>
        <w:widowControl/>
        <w:shd w:val="clear" w:color="auto" w:fill="auto"/>
        <w:tabs>
          <w:tab w:val="left" w:pos="567"/>
        </w:tabs>
        <w:ind w:firstLine="709"/>
      </w:pPr>
      <w:r>
        <w:t xml:space="preserve">3.8.3. По итогам проверки подразделение (работник) внутреннего аудита </w:t>
      </w:r>
      <w:r>
        <w:rPr>
          <w:lang w:eastAsia="de-DE"/>
        </w:rPr>
        <w:t xml:space="preserve">Общества </w:t>
      </w:r>
      <w:r>
        <w:t>составляет отчет, содержащий сведения о недостатках при управлении процентным риском, о результатах оценки адекватности методов измерения процентного риска, системы учета и отчетности.</w:t>
      </w:r>
    </w:p>
    <w:p w:rsidR="00230A2C" w:rsidRDefault="00A55E95">
      <w:pPr>
        <w:pStyle w:val="17"/>
        <w:widowControl/>
        <w:shd w:val="clear" w:color="auto" w:fill="auto"/>
        <w:ind w:firstLine="709"/>
      </w:pPr>
      <w:r>
        <w:t xml:space="preserve">В случае необходимости повышения качества управления процентным риском подразделение (работник) внутреннего аудита </w:t>
      </w:r>
      <w:r>
        <w:rPr>
          <w:lang w:eastAsia="de-DE"/>
        </w:rPr>
        <w:t>Общества</w:t>
      </w:r>
      <w:r>
        <w:t xml:space="preserve"> предлагает мероприятия по усовершенствованию подходов к управлению процентным риском.</w:t>
      </w:r>
    </w:p>
    <w:p w:rsidR="00230A2C" w:rsidRDefault="00A55E95">
      <w:pPr>
        <w:pStyle w:val="17"/>
        <w:widowControl/>
        <w:shd w:val="clear" w:color="auto" w:fill="auto"/>
        <w:ind w:firstLine="709"/>
      </w:pPr>
      <w:r>
        <w:t xml:space="preserve">3.8.4. Подразделение (работник) внутреннего аудита </w:t>
      </w:r>
      <w:r>
        <w:rPr>
          <w:lang w:eastAsia="de-DE"/>
        </w:rPr>
        <w:t xml:space="preserve">Общества </w:t>
      </w:r>
      <w:r>
        <w:t>в соответствии с планом проверок представляет отчет и предложения по совершенствованию подходов к управлению процентным риском органу управления Общества.</w:t>
      </w:r>
    </w:p>
    <w:p w:rsidR="00230A2C" w:rsidRDefault="00230A2C">
      <w:pPr>
        <w:pStyle w:val="17"/>
        <w:widowControl/>
        <w:shd w:val="clear" w:color="auto" w:fill="auto"/>
        <w:ind w:firstLine="740"/>
        <w:rPr>
          <w:sz w:val="16"/>
          <w:szCs w:val="16"/>
        </w:rPr>
      </w:pPr>
    </w:p>
    <w:p w:rsidR="00230A2C" w:rsidRDefault="00230A2C">
      <w:pPr>
        <w:pStyle w:val="aff9"/>
        <w:ind w:firstLine="0"/>
        <w:rPr>
          <w:rFonts w:ascii="Times New Roman" w:hAnsi="Times New Roman"/>
          <w:szCs w:val="28"/>
        </w:rPr>
      </w:pPr>
    </w:p>
    <w:sectPr w:rsidR="00230A2C">
      <w:headerReference w:type="default" r:id="rId13"/>
      <w:pgSz w:w="11907" w:h="16839"/>
      <w:pgMar w:top="1134" w:right="992"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012" w:rsidRDefault="00C41012">
      <w:r>
        <w:separator/>
      </w:r>
    </w:p>
    <w:p w:rsidR="00C41012" w:rsidRDefault="00C41012"/>
    <w:p w:rsidR="00C41012" w:rsidRDefault="00C41012"/>
  </w:endnote>
  <w:endnote w:type="continuationSeparator" w:id="0">
    <w:p w:rsidR="00C41012" w:rsidRDefault="00C41012">
      <w:r>
        <w:continuationSeparator/>
      </w:r>
    </w:p>
    <w:p w:rsidR="00C41012" w:rsidRDefault="00C41012"/>
    <w:p w:rsidR="00C41012" w:rsidRDefault="00C410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00"/>
    <w:family w:val="auto"/>
    <w:pitch w:val="default"/>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A2C" w:rsidRDefault="00A55E95">
    <w:pPr>
      <w:pStyle w:val="afb"/>
      <w:ind w:firstLine="0"/>
      <w:jc w:val="center"/>
    </w:pPr>
    <w:r>
      <w:rPr>
        <w:rFonts w:ascii="Times New Roman" w:eastAsia="Times New Roman" w:hAnsi="Times New Roman"/>
        <w:color w:val="000000"/>
        <w:sz w:val="28"/>
        <w:szCs w:val="28"/>
      </w:rPr>
      <w:t xml:space="preserve">г. </w:t>
    </w:r>
    <w:r>
      <w:rPr>
        <w:rFonts w:ascii="Times New Roman" w:eastAsia="Times New Roman" w:hAnsi="Times New Roman"/>
        <w:color w:val="000000"/>
        <w:sz w:val="28"/>
        <w:szCs w:val="28"/>
        <w:highlight w:val="white"/>
      </w:rPr>
      <w:t>Уфа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A2C" w:rsidRDefault="00230A2C">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012" w:rsidRDefault="00C41012">
      <w:r>
        <w:separator/>
      </w:r>
    </w:p>
  </w:footnote>
  <w:footnote w:type="continuationSeparator" w:id="0">
    <w:p w:rsidR="00C41012" w:rsidRDefault="00C41012">
      <w:r>
        <w:continuationSeparator/>
      </w:r>
    </w:p>
  </w:footnote>
  <w:footnote w:id="1">
    <w:p w:rsidR="00230A2C" w:rsidRDefault="00A55E95">
      <w:pPr>
        <w:pStyle w:val="aff0"/>
        <w:rPr>
          <w:sz w:val="24"/>
          <w:szCs w:val="24"/>
        </w:rPr>
      </w:pPr>
      <w:r>
        <w:rPr>
          <w:rStyle w:val="aff2"/>
          <w:sz w:val="24"/>
          <w:szCs w:val="24"/>
        </w:rPr>
        <w:footnoteRef/>
      </w:r>
      <w:r>
        <w:rPr>
          <w:sz w:val="24"/>
          <w:szCs w:val="24"/>
        </w:rPr>
        <w:t xml:space="preserve"> Стандарты управления рисками </w:t>
      </w:r>
      <w:r>
        <w:rPr>
          <w:sz w:val="24"/>
          <w:szCs w:val="24"/>
          <w:lang w:val="en-US"/>
        </w:rPr>
        <w:t>ISO</w:t>
      </w:r>
      <w:r>
        <w:rPr>
          <w:sz w:val="24"/>
          <w:szCs w:val="24"/>
        </w:rPr>
        <w:t xml:space="preserve"> 31000, стандарты Федерации европейских ассоциаций риск-менеджеров (</w:t>
      </w:r>
      <w:r>
        <w:rPr>
          <w:sz w:val="24"/>
          <w:szCs w:val="24"/>
          <w:lang w:val="en-US"/>
        </w:rPr>
        <w:t>FERMA</w:t>
      </w:r>
      <w:r>
        <w:rPr>
          <w:sz w:val="24"/>
          <w:szCs w:val="24"/>
        </w:rPr>
        <w:t>), Комитета спонсорских организаций Комиссии Тредвея (</w:t>
      </w:r>
      <w:r>
        <w:rPr>
          <w:sz w:val="24"/>
          <w:szCs w:val="24"/>
          <w:lang w:val="en-US"/>
        </w:rPr>
        <w:t>COSO</w:t>
      </w:r>
      <w:r>
        <w:rPr>
          <w:sz w:val="24"/>
          <w:szCs w:val="24"/>
        </w:rPr>
        <w:t>), Комитета директоров по рискам (</w:t>
      </w:r>
      <w:r>
        <w:rPr>
          <w:sz w:val="24"/>
          <w:szCs w:val="24"/>
          <w:lang w:val="en-US"/>
        </w:rPr>
        <w:t>CCRO</w:t>
      </w:r>
      <w:r>
        <w:rPr>
          <w:sz w:val="24"/>
          <w:szCs w:val="24"/>
        </w:rPr>
        <w:t>), Базельского комитета по банковскому надзору, а также ГОСТы серии «Менеджмент риска».</w:t>
      </w:r>
    </w:p>
  </w:footnote>
  <w:footnote w:id="2">
    <w:p w:rsidR="00230A2C" w:rsidRDefault="00A55E95">
      <w:pPr>
        <w:pStyle w:val="17"/>
        <w:ind w:firstLine="709"/>
        <w:rPr>
          <w:sz w:val="24"/>
          <w:szCs w:val="24"/>
        </w:rPr>
      </w:pPr>
      <w:r>
        <w:rPr>
          <w:rStyle w:val="aff2"/>
        </w:rPr>
        <w:footnoteRef/>
      </w:r>
      <w:r>
        <w:t xml:space="preserve"> </w:t>
      </w:r>
      <w:r>
        <w:rPr>
          <w:sz w:val="24"/>
          <w:szCs w:val="24"/>
        </w:rPr>
        <w:t>Первая линия защиты – управление процентным риском и внутренний контроль на уровне бизнес-процессов.</w:t>
      </w:r>
    </w:p>
    <w:p w:rsidR="00230A2C" w:rsidRDefault="00A55E95">
      <w:pPr>
        <w:pStyle w:val="17"/>
        <w:ind w:firstLine="709"/>
        <w:rPr>
          <w:sz w:val="24"/>
          <w:szCs w:val="24"/>
        </w:rPr>
      </w:pPr>
      <w:r>
        <w:rPr>
          <w:sz w:val="24"/>
          <w:szCs w:val="24"/>
        </w:rPr>
        <w:t>Вторая линия защиты – формирование единой политики в области управления процентным риском и внутреннего контроля, методологическое обеспечение ее реализации, а также координация деятельности структурных подразделений Общества по управлению процентным риском и внутреннему контролю.</w:t>
      </w:r>
    </w:p>
    <w:p w:rsidR="00230A2C" w:rsidRDefault="00A55E95">
      <w:pPr>
        <w:pStyle w:val="17"/>
        <w:widowControl/>
        <w:shd w:val="clear" w:color="auto" w:fill="auto"/>
        <w:ind w:firstLine="709"/>
        <w:rPr>
          <w:sz w:val="24"/>
          <w:szCs w:val="24"/>
        </w:rPr>
      </w:pPr>
      <w:r>
        <w:rPr>
          <w:sz w:val="24"/>
          <w:szCs w:val="24"/>
        </w:rPr>
        <w:t>Третья линия защиты – независимая и объективная внутренняя оценка эффективности управления процентным риском и внутреннего контроля.</w:t>
      </w:r>
    </w:p>
    <w:p w:rsidR="00230A2C" w:rsidRDefault="00230A2C">
      <w:pPr>
        <w:pStyle w:val="a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A2C" w:rsidRDefault="00230A2C">
    <w:pPr>
      <w:pStyle w:val="af9"/>
      <w:jc w:val="right"/>
    </w:pPr>
  </w:p>
  <w:p w:rsidR="00230A2C" w:rsidRDefault="00230A2C">
    <w:pPr>
      <w:pStyle w:val="a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A2C" w:rsidRDefault="00A55E95">
    <w:pPr>
      <w:pStyle w:val="af9"/>
      <w:jc w:val="right"/>
    </w:pPr>
    <w:r>
      <w:fldChar w:fldCharType="begin"/>
    </w:r>
    <w:r>
      <w:instrText xml:space="preserve"> PAGE   \* MERGEFORMAT </w:instrText>
    </w:r>
    <w:r>
      <w:fldChar w:fldCharType="separate"/>
    </w:r>
    <w:r w:rsidR="00174226">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A2C" w:rsidRDefault="00A55E95">
    <w:pPr>
      <w:pStyle w:val="af9"/>
      <w:jc w:val="right"/>
    </w:pPr>
    <w:r>
      <w:fldChar w:fldCharType="begin"/>
    </w:r>
    <w:r>
      <w:instrText xml:space="preserve"> PAGE   \* MERGEFORMAT </w:instrText>
    </w:r>
    <w:r>
      <w:fldChar w:fldCharType="separate"/>
    </w:r>
    <w:r w:rsidR="009A2F7B">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F797B"/>
    <w:multiLevelType w:val="hybridMultilevel"/>
    <w:tmpl w:val="5C08FAA8"/>
    <w:lvl w:ilvl="0" w:tplc="B70CF9A6">
      <w:start w:val="1"/>
      <w:numFmt w:val="bullet"/>
      <w:lvlText w:val=""/>
      <w:lvlJc w:val="left"/>
      <w:pPr>
        <w:ind w:left="720" w:hanging="360"/>
      </w:pPr>
      <w:rPr>
        <w:rFonts w:ascii="Symbol" w:hAnsi="Symbol" w:hint="default"/>
      </w:rPr>
    </w:lvl>
    <w:lvl w:ilvl="1" w:tplc="F46462C8">
      <w:start w:val="1"/>
      <w:numFmt w:val="bullet"/>
      <w:lvlText w:val="o"/>
      <w:lvlJc w:val="left"/>
      <w:pPr>
        <w:ind w:left="1440" w:hanging="360"/>
      </w:pPr>
      <w:rPr>
        <w:rFonts w:ascii="Courier New" w:hAnsi="Courier New" w:cs="Courier New" w:hint="default"/>
      </w:rPr>
    </w:lvl>
    <w:lvl w:ilvl="2" w:tplc="2172777A">
      <w:start w:val="1"/>
      <w:numFmt w:val="bullet"/>
      <w:lvlText w:val=""/>
      <w:lvlJc w:val="left"/>
      <w:pPr>
        <w:ind w:left="2160" w:hanging="360"/>
      </w:pPr>
      <w:rPr>
        <w:rFonts w:ascii="Wingdings" w:hAnsi="Wingdings" w:hint="default"/>
      </w:rPr>
    </w:lvl>
    <w:lvl w:ilvl="3" w:tplc="0A8E4294">
      <w:start w:val="1"/>
      <w:numFmt w:val="bullet"/>
      <w:lvlText w:val=""/>
      <w:lvlJc w:val="left"/>
      <w:pPr>
        <w:ind w:left="2880" w:hanging="360"/>
      </w:pPr>
      <w:rPr>
        <w:rFonts w:ascii="Symbol" w:hAnsi="Symbol" w:hint="default"/>
      </w:rPr>
    </w:lvl>
    <w:lvl w:ilvl="4" w:tplc="B3868C88">
      <w:start w:val="1"/>
      <w:numFmt w:val="bullet"/>
      <w:lvlText w:val="o"/>
      <w:lvlJc w:val="left"/>
      <w:pPr>
        <w:ind w:left="3600" w:hanging="360"/>
      </w:pPr>
      <w:rPr>
        <w:rFonts w:ascii="Courier New" w:hAnsi="Courier New" w:cs="Courier New" w:hint="default"/>
      </w:rPr>
    </w:lvl>
    <w:lvl w:ilvl="5" w:tplc="BE929528">
      <w:start w:val="1"/>
      <w:numFmt w:val="bullet"/>
      <w:lvlText w:val=""/>
      <w:lvlJc w:val="left"/>
      <w:pPr>
        <w:ind w:left="4320" w:hanging="360"/>
      </w:pPr>
      <w:rPr>
        <w:rFonts w:ascii="Wingdings" w:hAnsi="Wingdings" w:hint="default"/>
      </w:rPr>
    </w:lvl>
    <w:lvl w:ilvl="6" w:tplc="930005FE">
      <w:start w:val="1"/>
      <w:numFmt w:val="bullet"/>
      <w:lvlText w:val=""/>
      <w:lvlJc w:val="left"/>
      <w:pPr>
        <w:ind w:left="5040" w:hanging="360"/>
      </w:pPr>
      <w:rPr>
        <w:rFonts w:ascii="Symbol" w:hAnsi="Symbol" w:hint="default"/>
      </w:rPr>
    </w:lvl>
    <w:lvl w:ilvl="7" w:tplc="42566486">
      <w:start w:val="1"/>
      <w:numFmt w:val="bullet"/>
      <w:lvlText w:val="o"/>
      <w:lvlJc w:val="left"/>
      <w:pPr>
        <w:ind w:left="5760" w:hanging="360"/>
      </w:pPr>
      <w:rPr>
        <w:rFonts w:ascii="Courier New" w:hAnsi="Courier New" w:cs="Courier New" w:hint="default"/>
      </w:rPr>
    </w:lvl>
    <w:lvl w:ilvl="8" w:tplc="01A0900C">
      <w:start w:val="1"/>
      <w:numFmt w:val="bullet"/>
      <w:lvlText w:val=""/>
      <w:lvlJc w:val="left"/>
      <w:pPr>
        <w:ind w:left="6480" w:hanging="360"/>
      </w:pPr>
      <w:rPr>
        <w:rFonts w:ascii="Wingdings" w:hAnsi="Wingdings" w:hint="default"/>
      </w:rPr>
    </w:lvl>
  </w:abstractNum>
  <w:abstractNum w:abstractNumId="1" w15:restartNumberingAfterBreak="0">
    <w:nsid w:val="096C2809"/>
    <w:multiLevelType w:val="multilevel"/>
    <w:tmpl w:val="1742C282"/>
    <w:lvl w:ilvl="0">
      <w:start w:val="3"/>
      <w:numFmt w:val="decimal"/>
      <w:lvlText w:val="%1."/>
      <w:lvlJc w:val="left"/>
      <w:pPr>
        <w:ind w:left="810" w:hanging="810"/>
      </w:pPr>
      <w:rPr>
        <w:rFonts w:hint="default"/>
      </w:rPr>
    </w:lvl>
    <w:lvl w:ilvl="1">
      <w:start w:val="3"/>
      <w:numFmt w:val="decimal"/>
      <w:lvlText w:val="%1.%2."/>
      <w:lvlJc w:val="left"/>
      <w:pPr>
        <w:ind w:left="1500" w:hanging="810"/>
      </w:pPr>
      <w:rPr>
        <w:rFonts w:hint="default"/>
      </w:rPr>
    </w:lvl>
    <w:lvl w:ilvl="2">
      <w:start w:val="14"/>
      <w:numFmt w:val="decimal"/>
      <w:lvlText w:val="%1.%2.%3."/>
      <w:lvlJc w:val="left"/>
      <w:pPr>
        <w:ind w:left="2190" w:hanging="81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940" w:hanging="180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2" w15:restartNumberingAfterBreak="0">
    <w:nsid w:val="0ED112FB"/>
    <w:multiLevelType w:val="hybridMultilevel"/>
    <w:tmpl w:val="94F287FE"/>
    <w:lvl w:ilvl="0" w:tplc="A3CEA6C0">
      <w:start w:val="1"/>
      <w:numFmt w:val="bullet"/>
      <w:lvlText w:val="−"/>
      <w:lvlJc w:val="left"/>
      <w:pPr>
        <w:ind w:left="1429" w:hanging="360"/>
      </w:pPr>
      <w:rPr>
        <w:rFonts w:ascii="Courier New" w:hAnsi="Courier New" w:hint="default"/>
        <w:color w:val="auto"/>
        <w:u w:val="none"/>
      </w:rPr>
    </w:lvl>
    <w:lvl w:ilvl="1" w:tplc="C414DDDE">
      <w:start w:val="1"/>
      <w:numFmt w:val="bullet"/>
      <w:lvlText w:val="o"/>
      <w:lvlJc w:val="left"/>
      <w:pPr>
        <w:ind w:left="2149" w:hanging="360"/>
      </w:pPr>
      <w:rPr>
        <w:rFonts w:ascii="Courier New" w:hAnsi="Courier New" w:cs="Courier New" w:hint="default"/>
      </w:rPr>
    </w:lvl>
    <w:lvl w:ilvl="2" w:tplc="3A4E0DD2">
      <w:start w:val="1"/>
      <w:numFmt w:val="bullet"/>
      <w:lvlText w:val=""/>
      <w:lvlJc w:val="left"/>
      <w:pPr>
        <w:ind w:left="2869" w:hanging="360"/>
      </w:pPr>
      <w:rPr>
        <w:rFonts w:ascii="Wingdings" w:hAnsi="Wingdings" w:hint="default"/>
      </w:rPr>
    </w:lvl>
    <w:lvl w:ilvl="3" w:tplc="997E1B14">
      <w:start w:val="1"/>
      <w:numFmt w:val="bullet"/>
      <w:lvlText w:val=""/>
      <w:lvlJc w:val="left"/>
      <w:pPr>
        <w:ind w:left="3589" w:hanging="360"/>
      </w:pPr>
      <w:rPr>
        <w:rFonts w:ascii="Symbol" w:hAnsi="Symbol" w:hint="default"/>
      </w:rPr>
    </w:lvl>
    <w:lvl w:ilvl="4" w:tplc="4D4E1F46">
      <w:start w:val="1"/>
      <w:numFmt w:val="bullet"/>
      <w:lvlText w:val="o"/>
      <w:lvlJc w:val="left"/>
      <w:pPr>
        <w:ind w:left="4309" w:hanging="360"/>
      </w:pPr>
      <w:rPr>
        <w:rFonts w:ascii="Courier New" w:hAnsi="Courier New" w:cs="Courier New" w:hint="default"/>
      </w:rPr>
    </w:lvl>
    <w:lvl w:ilvl="5" w:tplc="2920293C">
      <w:start w:val="1"/>
      <w:numFmt w:val="bullet"/>
      <w:lvlText w:val=""/>
      <w:lvlJc w:val="left"/>
      <w:pPr>
        <w:ind w:left="5029" w:hanging="360"/>
      </w:pPr>
      <w:rPr>
        <w:rFonts w:ascii="Wingdings" w:hAnsi="Wingdings" w:hint="default"/>
      </w:rPr>
    </w:lvl>
    <w:lvl w:ilvl="6" w:tplc="4E4A03EC">
      <w:start w:val="1"/>
      <w:numFmt w:val="bullet"/>
      <w:lvlText w:val=""/>
      <w:lvlJc w:val="left"/>
      <w:pPr>
        <w:ind w:left="5749" w:hanging="360"/>
      </w:pPr>
      <w:rPr>
        <w:rFonts w:ascii="Symbol" w:hAnsi="Symbol" w:hint="default"/>
      </w:rPr>
    </w:lvl>
    <w:lvl w:ilvl="7" w:tplc="EC700686">
      <w:start w:val="1"/>
      <w:numFmt w:val="bullet"/>
      <w:lvlText w:val="o"/>
      <w:lvlJc w:val="left"/>
      <w:pPr>
        <w:ind w:left="6469" w:hanging="360"/>
      </w:pPr>
      <w:rPr>
        <w:rFonts w:ascii="Courier New" w:hAnsi="Courier New" w:cs="Courier New" w:hint="default"/>
      </w:rPr>
    </w:lvl>
    <w:lvl w:ilvl="8" w:tplc="93BE667C">
      <w:start w:val="1"/>
      <w:numFmt w:val="bullet"/>
      <w:lvlText w:val=""/>
      <w:lvlJc w:val="left"/>
      <w:pPr>
        <w:ind w:left="7189" w:hanging="360"/>
      </w:pPr>
      <w:rPr>
        <w:rFonts w:ascii="Wingdings" w:hAnsi="Wingdings" w:hint="default"/>
      </w:rPr>
    </w:lvl>
  </w:abstractNum>
  <w:abstractNum w:abstractNumId="3" w15:restartNumberingAfterBreak="0">
    <w:nsid w:val="10B9442B"/>
    <w:multiLevelType w:val="multilevel"/>
    <w:tmpl w:val="9AB24312"/>
    <w:lvl w:ilvl="0">
      <w:start w:val="1"/>
      <w:numFmt w:val="decimal"/>
      <w:pStyle w:va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3C7504"/>
    <w:multiLevelType w:val="hybridMultilevel"/>
    <w:tmpl w:val="E9AE465A"/>
    <w:lvl w:ilvl="0" w:tplc="619633BE">
      <w:start w:val="1"/>
      <w:numFmt w:val="bullet"/>
      <w:lvlText w:val="−"/>
      <w:lvlJc w:val="left"/>
      <w:pPr>
        <w:ind w:left="1429" w:hanging="360"/>
      </w:pPr>
      <w:rPr>
        <w:rFonts w:ascii="Courier New" w:hAnsi="Courier New" w:hint="default"/>
        <w:color w:val="auto"/>
        <w:u w:val="none"/>
      </w:rPr>
    </w:lvl>
    <w:lvl w:ilvl="1" w:tplc="77C4FA70">
      <w:start w:val="1"/>
      <w:numFmt w:val="bullet"/>
      <w:lvlText w:val="o"/>
      <w:lvlJc w:val="left"/>
      <w:pPr>
        <w:ind w:left="2149" w:hanging="360"/>
      </w:pPr>
      <w:rPr>
        <w:rFonts w:ascii="Courier New" w:hAnsi="Courier New" w:cs="Courier New" w:hint="default"/>
      </w:rPr>
    </w:lvl>
    <w:lvl w:ilvl="2" w:tplc="255C86F8">
      <w:start w:val="1"/>
      <w:numFmt w:val="bullet"/>
      <w:lvlText w:val=""/>
      <w:lvlJc w:val="left"/>
      <w:pPr>
        <w:ind w:left="2869" w:hanging="360"/>
      </w:pPr>
      <w:rPr>
        <w:rFonts w:ascii="Wingdings" w:hAnsi="Wingdings" w:hint="default"/>
      </w:rPr>
    </w:lvl>
    <w:lvl w:ilvl="3" w:tplc="6AEEC1DA">
      <w:start w:val="1"/>
      <w:numFmt w:val="bullet"/>
      <w:lvlText w:val=""/>
      <w:lvlJc w:val="left"/>
      <w:pPr>
        <w:ind w:left="3589" w:hanging="360"/>
      </w:pPr>
      <w:rPr>
        <w:rFonts w:ascii="Symbol" w:hAnsi="Symbol" w:hint="default"/>
      </w:rPr>
    </w:lvl>
    <w:lvl w:ilvl="4" w:tplc="4D4CE8B0">
      <w:start w:val="1"/>
      <w:numFmt w:val="bullet"/>
      <w:lvlText w:val="o"/>
      <w:lvlJc w:val="left"/>
      <w:pPr>
        <w:ind w:left="4309" w:hanging="360"/>
      </w:pPr>
      <w:rPr>
        <w:rFonts w:ascii="Courier New" w:hAnsi="Courier New" w:cs="Courier New" w:hint="default"/>
      </w:rPr>
    </w:lvl>
    <w:lvl w:ilvl="5" w:tplc="40EE5EAE">
      <w:start w:val="1"/>
      <w:numFmt w:val="bullet"/>
      <w:lvlText w:val=""/>
      <w:lvlJc w:val="left"/>
      <w:pPr>
        <w:ind w:left="5029" w:hanging="360"/>
      </w:pPr>
      <w:rPr>
        <w:rFonts w:ascii="Wingdings" w:hAnsi="Wingdings" w:hint="default"/>
      </w:rPr>
    </w:lvl>
    <w:lvl w:ilvl="6" w:tplc="CAC6C3E0">
      <w:start w:val="1"/>
      <w:numFmt w:val="bullet"/>
      <w:lvlText w:val=""/>
      <w:lvlJc w:val="left"/>
      <w:pPr>
        <w:ind w:left="5749" w:hanging="360"/>
      </w:pPr>
      <w:rPr>
        <w:rFonts w:ascii="Symbol" w:hAnsi="Symbol" w:hint="default"/>
      </w:rPr>
    </w:lvl>
    <w:lvl w:ilvl="7" w:tplc="1BE224C0">
      <w:start w:val="1"/>
      <w:numFmt w:val="bullet"/>
      <w:lvlText w:val="o"/>
      <w:lvlJc w:val="left"/>
      <w:pPr>
        <w:ind w:left="6469" w:hanging="360"/>
      </w:pPr>
      <w:rPr>
        <w:rFonts w:ascii="Courier New" w:hAnsi="Courier New" w:cs="Courier New" w:hint="default"/>
      </w:rPr>
    </w:lvl>
    <w:lvl w:ilvl="8" w:tplc="29AADC50">
      <w:start w:val="1"/>
      <w:numFmt w:val="bullet"/>
      <w:lvlText w:val=""/>
      <w:lvlJc w:val="left"/>
      <w:pPr>
        <w:ind w:left="7189" w:hanging="360"/>
      </w:pPr>
      <w:rPr>
        <w:rFonts w:ascii="Wingdings" w:hAnsi="Wingdings" w:hint="default"/>
      </w:rPr>
    </w:lvl>
  </w:abstractNum>
  <w:abstractNum w:abstractNumId="5" w15:restartNumberingAfterBreak="0">
    <w:nsid w:val="1EBF40AA"/>
    <w:multiLevelType w:val="multilevel"/>
    <w:tmpl w:val="96640D24"/>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6" w15:restartNumberingAfterBreak="0">
    <w:nsid w:val="22181A81"/>
    <w:multiLevelType w:val="multilevel"/>
    <w:tmpl w:val="59F45318"/>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7" w15:restartNumberingAfterBreak="0">
    <w:nsid w:val="28DA63B2"/>
    <w:multiLevelType w:val="hybridMultilevel"/>
    <w:tmpl w:val="F61A0FC0"/>
    <w:lvl w:ilvl="0" w:tplc="9F96AF7E">
      <w:start w:val="2"/>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0B46E192">
      <w:start w:val="1"/>
      <w:numFmt w:val="decimal"/>
      <w:lvlText w:val=""/>
      <w:lvlJc w:val="left"/>
    </w:lvl>
    <w:lvl w:ilvl="2" w:tplc="20BC3F8A">
      <w:start w:val="1"/>
      <w:numFmt w:val="decimal"/>
      <w:lvlText w:val=""/>
      <w:lvlJc w:val="left"/>
    </w:lvl>
    <w:lvl w:ilvl="3" w:tplc="06E25894">
      <w:start w:val="1"/>
      <w:numFmt w:val="decimal"/>
      <w:lvlText w:val=""/>
      <w:lvlJc w:val="left"/>
    </w:lvl>
    <w:lvl w:ilvl="4" w:tplc="994806DA">
      <w:start w:val="1"/>
      <w:numFmt w:val="decimal"/>
      <w:lvlText w:val=""/>
      <w:lvlJc w:val="left"/>
    </w:lvl>
    <w:lvl w:ilvl="5" w:tplc="1986927A">
      <w:start w:val="1"/>
      <w:numFmt w:val="decimal"/>
      <w:lvlText w:val=""/>
      <w:lvlJc w:val="left"/>
    </w:lvl>
    <w:lvl w:ilvl="6" w:tplc="D6A27DAE">
      <w:start w:val="1"/>
      <w:numFmt w:val="decimal"/>
      <w:lvlText w:val=""/>
      <w:lvlJc w:val="left"/>
    </w:lvl>
    <w:lvl w:ilvl="7" w:tplc="EF809850">
      <w:start w:val="1"/>
      <w:numFmt w:val="decimal"/>
      <w:lvlText w:val=""/>
      <w:lvlJc w:val="left"/>
    </w:lvl>
    <w:lvl w:ilvl="8" w:tplc="A03EFC82">
      <w:start w:val="1"/>
      <w:numFmt w:val="decimal"/>
      <w:lvlText w:val=""/>
      <w:lvlJc w:val="left"/>
    </w:lvl>
  </w:abstractNum>
  <w:abstractNum w:abstractNumId="8" w15:restartNumberingAfterBreak="0">
    <w:nsid w:val="2AE95E02"/>
    <w:multiLevelType w:val="multilevel"/>
    <w:tmpl w:val="2466A758"/>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 w15:restartNumberingAfterBreak="0">
    <w:nsid w:val="33B6063F"/>
    <w:multiLevelType w:val="multilevel"/>
    <w:tmpl w:val="72DA76BC"/>
    <w:lvl w:ilvl="0">
      <w:start w:val="3"/>
      <w:numFmt w:val="decimal"/>
      <w:lvlText w:val="%1"/>
      <w:lvlJc w:val="left"/>
      <w:pPr>
        <w:ind w:left="600" w:hanging="600"/>
      </w:pPr>
      <w:rPr>
        <w:rFonts w:hint="default"/>
      </w:rPr>
    </w:lvl>
    <w:lvl w:ilvl="1">
      <w:start w:val="8"/>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409977BD"/>
    <w:multiLevelType w:val="multilevel"/>
    <w:tmpl w:val="A64C1A78"/>
    <w:lvl w:ilvl="0">
      <w:start w:val="3"/>
      <w:numFmt w:val="decimal"/>
      <w:lvlText w:val="%1."/>
      <w:lvlJc w:val="left"/>
      <w:pPr>
        <w:ind w:left="675" w:hanging="675"/>
      </w:pPr>
      <w:rPr>
        <w:rFonts w:hint="default"/>
      </w:rPr>
    </w:lvl>
    <w:lvl w:ilvl="1">
      <w:start w:val="1"/>
      <w:numFmt w:val="decimal"/>
      <w:lvlText w:val="%1.%2."/>
      <w:lvlJc w:val="left"/>
      <w:pPr>
        <w:ind w:left="1352" w:hanging="720"/>
      </w:pPr>
      <w:rPr>
        <w:rFonts w:hint="default"/>
      </w:rPr>
    </w:lvl>
    <w:lvl w:ilvl="2">
      <w:start w:val="2"/>
      <w:numFmt w:val="decimal"/>
      <w:lvlText w:val="%1.%2.%3."/>
      <w:lvlJc w:val="left"/>
      <w:pPr>
        <w:ind w:left="1984" w:hanging="720"/>
      </w:pPr>
      <w:rPr>
        <w:rFonts w:hint="default"/>
      </w:rPr>
    </w:lvl>
    <w:lvl w:ilvl="3">
      <w:start w:val="1"/>
      <w:numFmt w:val="decimal"/>
      <w:lvlText w:val="%1.%2.%3.%4."/>
      <w:lvlJc w:val="left"/>
      <w:pPr>
        <w:ind w:left="2976" w:hanging="108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600"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6224" w:hanging="1800"/>
      </w:pPr>
      <w:rPr>
        <w:rFonts w:hint="default"/>
      </w:rPr>
    </w:lvl>
    <w:lvl w:ilvl="8">
      <w:start w:val="1"/>
      <w:numFmt w:val="decimal"/>
      <w:lvlText w:val="%1.%2.%3.%4.%5.%6.%7.%8.%9."/>
      <w:lvlJc w:val="left"/>
      <w:pPr>
        <w:ind w:left="7216" w:hanging="2160"/>
      </w:pPr>
      <w:rPr>
        <w:rFonts w:hint="default"/>
      </w:rPr>
    </w:lvl>
  </w:abstractNum>
  <w:abstractNum w:abstractNumId="11" w15:restartNumberingAfterBreak="0">
    <w:nsid w:val="46F56D34"/>
    <w:multiLevelType w:val="multilevel"/>
    <w:tmpl w:val="BBCAAFDA"/>
    <w:lvl w:ilvl="0">
      <w:start w:val="3"/>
      <w:numFmt w:val="decimal"/>
      <w:lvlText w:val="%1."/>
      <w:lvlJc w:val="left"/>
      <w:pPr>
        <w:ind w:left="675" w:hanging="675"/>
      </w:pPr>
      <w:rPr>
        <w:rFonts w:hint="default"/>
      </w:rPr>
    </w:lvl>
    <w:lvl w:ilvl="1">
      <w:start w:val="1"/>
      <w:numFmt w:val="decimal"/>
      <w:lvlText w:val="%1.%2."/>
      <w:lvlJc w:val="left"/>
      <w:pPr>
        <w:ind w:left="1337" w:hanging="720"/>
      </w:pPr>
      <w:rPr>
        <w:rFonts w:hint="default"/>
      </w:rPr>
    </w:lvl>
    <w:lvl w:ilvl="2">
      <w:start w:val="2"/>
      <w:numFmt w:val="decimal"/>
      <w:lvlText w:val="%1.%2.%3."/>
      <w:lvlJc w:val="left"/>
      <w:pPr>
        <w:ind w:left="1954" w:hanging="720"/>
      </w:pPr>
      <w:rPr>
        <w:rFonts w:hint="default"/>
      </w:rPr>
    </w:lvl>
    <w:lvl w:ilvl="3">
      <w:start w:val="1"/>
      <w:numFmt w:val="decimal"/>
      <w:lvlText w:val="%1.%2.%3.%4."/>
      <w:lvlJc w:val="left"/>
      <w:pPr>
        <w:ind w:left="2931" w:hanging="1080"/>
      </w:pPr>
      <w:rPr>
        <w:rFonts w:hint="default"/>
      </w:rPr>
    </w:lvl>
    <w:lvl w:ilvl="4">
      <w:start w:val="1"/>
      <w:numFmt w:val="decimal"/>
      <w:lvlText w:val="%1.%2.%3.%4.%5."/>
      <w:lvlJc w:val="left"/>
      <w:pPr>
        <w:ind w:left="3548" w:hanging="1080"/>
      </w:pPr>
      <w:rPr>
        <w:rFonts w:hint="default"/>
      </w:rPr>
    </w:lvl>
    <w:lvl w:ilvl="5">
      <w:start w:val="1"/>
      <w:numFmt w:val="decimal"/>
      <w:lvlText w:val="%1.%2.%3.%4.%5.%6."/>
      <w:lvlJc w:val="left"/>
      <w:pPr>
        <w:ind w:left="4525" w:hanging="1440"/>
      </w:pPr>
      <w:rPr>
        <w:rFonts w:hint="default"/>
      </w:rPr>
    </w:lvl>
    <w:lvl w:ilvl="6">
      <w:start w:val="1"/>
      <w:numFmt w:val="decimal"/>
      <w:lvlText w:val="%1.%2.%3.%4.%5.%6.%7."/>
      <w:lvlJc w:val="left"/>
      <w:pPr>
        <w:ind w:left="5502" w:hanging="1800"/>
      </w:pPr>
      <w:rPr>
        <w:rFonts w:hint="default"/>
      </w:rPr>
    </w:lvl>
    <w:lvl w:ilvl="7">
      <w:start w:val="1"/>
      <w:numFmt w:val="decimal"/>
      <w:lvlText w:val="%1.%2.%3.%4.%5.%6.%7.%8."/>
      <w:lvlJc w:val="left"/>
      <w:pPr>
        <w:ind w:left="6119" w:hanging="1800"/>
      </w:pPr>
      <w:rPr>
        <w:rFonts w:hint="default"/>
      </w:rPr>
    </w:lvl>
    <w:lvl w:ilvl="8">
      <w:start w:val="1"/>
      <w:numFmt w:val="decimal"/>
      <w:lvlText w:val="%1.%2.%3.%4.%5.%6.%7.%8.%9."/>
      <w:lvlJc w:val="left"/>
      <w:pPr>
        <w:ind w:left="7096" w:hanging="2160"/>
      </w:pPr>
      <w:rPr>
        <w:rFonts w:hint="default"/>
      </w:rPr>
    </w:lvl>
  </w:abstractNum>
  <w:abstractNum w:abstractNumId="12" w15:restartNumberingAfterBreak="0">
    <w:nsid w:val="4A264F7A"/>
    <w:multiLevelType w:val="hybridMultilevel"/>
    <w:tmpl w:val="8252122C"/>
    <w:lvl w:ilvl="0" w:tplc="A0E62BD8">
      <w:start w:val="1"/>
      <w:numFmt w:val="decimal"/>
      <w:lvlText w:val="%1."/>
      <w:lvlJc w:val="left"/>
      <w:pPr>
        <w:ind w:left="720" w:hanging="360"/>
      </w:pPr>
    </w:lvl>
    <w:lvl w:ilvl="1" w:tplc="7436D626">
      <w:start w:val="1"/>
      <w:numFmt w:val="lowerLetter"/>
      <w:lvlText w:val="%2."/>
      <w:lvlJc w:val="left"/>
      <w:pPr>
        <w:ind w:left="1440" w:hanging="360"/>
      </w:pPr>
    </w:lvl>
    <w:lvl w:ilvl="2" w:tplc="E69A23D0">
      <w:start w:val="1"/>
      <w:numFmt w:val="lowerRoman"/>
      <w:lvlText w:val="%3."/>
      <w:lvlJc w:val="right"/>
      <w:pPr>
        <w:ind w:left="2160" w:hanging="180"/>
      </w:pPr>
    </w:lvl>
    <w:lvl w:ilvl="3" w:tplc="6A8038A8">
      <w:start w:val="1"/>
      <w:numFmt w:val="decimal"/>
      <w:lvlText w:val="%4."/>
      <w:lvlJc w:val="left"/>
      <w:pPr>
        <w:ind w:left="2880" w:hanging="360"/>
      </w:pPr>
    </w:lvl>
    <w:lvl w:ilvl="4" w:tplc="DEE0F7F0">
      <w:start w:val="1"/>
      <w:numFmt w:val="lowerLetter"/>
      <w:lvlText w:val="%5."/>
      <w:lvlJc w:val="left"/>
      <w:pPr>
        <w:ind w:left="3600" w:hanging="360"/>
      </w:pPr>
    </w:lvl>
    <w:lvl w:ilvl="5" w:tplc="4D84156A">
      <w:start w:val="1"/>
      <w:numFmt w:val="lowerRoman"/>
      <w:lvlText w:val="%6."/>
      <w:lvlJc w:val="right"/>
      <w:pPr>
        <w:ind w:left="4320" w:hanging="180"/>
      </w:pPr>
    </w:lvl>
    <w:lvl w:ilvl="6" w:tplc="C9A0AAF6">
      <w:start w:val="1"/>
      <w:numFmt w:val="decimal"/>
      <w:lvlText w:val="%7."/>
      <w:lvlJc w:val="left"/>
      <w:pPr>
        <w:ind w:left="5040" w:hanging="360"/>
      </w:pPr>
    </w:lvl>
    <w:lvl w:ilvl="7" w:tplc="12C20AF0">
      <w:start w:val="1"/>
      <w:numFmt w:val="lowerLetter"/>
      <w:lvlText w:val="%8."/>
      <w:lvlJc w:val="left"/>
      <w:pPr>
        <w:ind w:left="5760" w:hanging="360"/>
      </w:pPr>
    </w:lvl>
    <w:lvl w:ilvl="8" w:tplc="0BA40FA4">
      <w:start w:val="1"/>
      <w:numFmt w:val="lowerRoman"/>
      <w:lvlText w:val="%9."/>
      <w:lvlJc w:val="right"/>
      <w:pPr>
        <w:ind w:left="6480" w:hanging="180"/>
      </w:pPr>
    </w:lvl>
  </w:abstractNum>
  <w:abstractNum w:abstractNumId="13" w15:restartNumberingAfterBreak="0">
    <w:nsid w:val="4D2B2B42"/>
    <w:multiLevelType w:val="multilevel"/>
    <w:tmpl w:val="B42EED26"/>
    <w:lvl w:ilvl="0">
      <w:start w:val="3"/>
      <w:numFmt w:val="decimal"/>
      <w:lvlText w:val="%1"/>
      <w:lvlJc w:val="left"/>
      <w:pPr>
        <w:ind w:left="600" w:hanging="600"/>
      </w:pPr>
      <w:rPr>
        <w:rFonts w:hint="default"/>
      </w:rPr>
    </w:lvl>
    <w:lvl w:ilvl="1">
      <w:start w:val="7"/>
      <w:numFmt w:val="decimal"/>
      <w:lvlText w:val="%1.%2"/>
      <w:lvlJc w:val="left"/>
      <w:pPr>
        <w:ind w:left="1025" w:hanging="60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4" w15:restartNumberingAfterBreak="0">
    <w:nsid w:val="4DB15312"/>
    <w:multiLevelType w:val="multilevel"/>
    <w:tmpl w:val="5A70D686"/>
    <w:lvl w:ilvl="0">
      <w:start w:val="1"/>
      <w:numFmt w:val="decimal"/>
      <w:lvlText w:val="%1."/>
      <w:lvlJc w:val="left"/>
      <w:pPr>
        <w:ind w:left="1069" w:hanging="360"/>
      </w:pPr>
      <w:rPr>
        <w:rFonts w:hint="default"/>
      </w:rPr>
    </w:lvl>
    <w:lvl w:ilvl="1">
      <w:start w:val="1"/>
      <w:numFmt w:val="decimal"/>
      <w:isLgl/>
      <w:lvlText w:val="%1.%2."/>
      <w:lvlJc w:val="left"/>
      <w:pPr>
        <w:ind w:left="5824"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5B61622A"/>
    <w:multiLevelType w:val="hybridMultilevel"/>
    <w:tmpl w:val="75D29B5C"/>
    <w:lvl w:ilvl="0" w:tplc="B26C6E18">
      <w:start w:val="1"/>
      <w:numFmt w:val="bullet"/>
      <w:lvlText w:val=""/>
      <w:lvlJc w:val="left"/>
      <w:pPr>
        <w:ind w:left="5399" w:hanging="360"/>
      </w:pPr>
      <w:rPr>
        <w:rFonts w:ascii="Symbol" w:hAnsi="Symbol" w:hint="default"/>
      </w:rPr>
    </w:lvl>
    <w:lvl w:ilvl="1" w:tplc="3274E2CC">
      <w:start w:val="1"/>
      <w:numFmt w:val="bullet"/>
      <w:lvlText w:val="o"/>
      <w:lvlJc w:val="left"/>
      <w:pPr>
        <w:ind w:left="6119" w:hanging="360"/>
      </w:pPr>
      <w:rPr>
        <w:rFonts w:ascii="Courier New" w:hAnsi="Courier New" w:cs="Courier New" w:hint="default"/>
      </w:rPr>
    </w:lvl>
    <w:lvl w:ilvl="2" w:tplc="2E06EA0C">
      <w:start w:val="1"/>
      <w:numFmt w:val="bullet"/>
      <w:lvlText w:val=""/>
      <w:lvlJc w:val="left"/>
      <w:pPr>
        <w:ind w:left="6839" w:hanging="360"/>
      </w:pPr>
      <w:rPr>
        <w:rFonts w:ascii="Wingdings" w:hAnsi="Wingdings" w:hint="default"/>
      </w:rPr>
    </w:lvl>
    <w:lvl w:ilvl="3" w:tplc="8C3C75FC">
      <w:start w:val="1"/>
      <w:numFmt w:val="bullet"/>
      <w:lvlText w:val=""/>
      <w:lvlJc w:val="left"/>
      <w:pPr>
        <w:ind w:left="7559" w:hanging="360"/>
      </w:pPr>
      <w:rPr>
        <w:rFonts w:ascii="Symbol" w:hAnsi="Symbol" w:hint="default"/>
      </w:rPr>
    </w:lvl>
    <w:lvl w:ilvl="4" w:tplc="D0781632">
      <w:start w:val="1"/>
      <w:numFmt w:val="bullet"/>
      <w:lvlText w:val="o"/>
      <w:lvlJc w:val="left"/>
      <w:pPr>
        <w:ind w:left="8279" w:hanging="360"/>
      </w:pPr>
      <w:rPr>
        <w:rFonts w:ascii="Courier New" w:hAnsi="Courier New" w:cs="Courier New" w:hint="default"/>
      </w:rPr>
    </w:lvl>
    <w:lvl w:ilvl="5" w:tplc="C79EA2E2">
      <w:start w:val="1"/>
      <w:numFmt w:val="bullet"/>
      <w:lvlText w:val=""/>
      <w:lvlJc w:val="left"/>
      <w:pPr>
        <w:ind w:left="8999" w:hanging="360"/>
      </w:pPr>
      <w:rPr>
        <w:rFonts w:ascii="Wingdings" w:hAnsi="Wingdings" w:hint="default"/>
      </w:rPr>
    </w:lvl>
    <w:lvl w:ilvl="6" w:tplc="4C247830">
      <w:start w:val="1"/>
      <w:numFmt w:val="bullet"/>
      <w:lvlText w:val=""/>
      <w:lvlJc w:val="left"/>
      <w:pPr>
        <w:ind w:left="9719" w:hanging="360"/>
      </w:pPr>
      <w:rPr>
        <w:rFonts w:ascii="Symbol" w:hAnsi="Symbol" w:hint="default"/>
      </w:rPr>
    </w:lvl>
    <w:lvl w:ilvl="7" w:tplc="452E4200">
      <w:start w:val="1"/>
      <w:numFmt w:val="bullet"/>
      <w:lvlText w:val="o"/>
      <w:lvlJc w:val="left"/>
      <w:pPr>
        <w:ind w:left="10439" w:hanging="360"/>
      </w:pPr>
      <w:rPr>
        <w:rFonts w:ascii="Courier New" w:hAnsi="Courier New" w:cs="Courier New" w:hint="default"/>
      </w:rPr>
    </w:lvl>
    <w:lvl w:ilvl="8" w:tplc="53E28678">
      <w:start w:val="1"/>
      <w:numFmt w:val="bullet"/>
      <w:lvlText w:val=""/>
      <w:lvlJc w:val="left"/>
      <w:pPr>
        <w:ind w:left="11159" w:hanging="360"/>
      </w:pPr>
      <w:rPr>
        <w:rFonts w:ascii="Wingdings" w:hAnsi="Wingdings" w:hint="default"/>
      </w:rPr>
    </w:lvl>
  </w:abstractNum>
  <w:abstractNum w:abstractNumId="16" w15:restartNumberingAfterBreak="0">
    <w:nsid w:val="5E39013E"/>
    <w:multiLevelType w:val="multilevel"/>
    <w:tmpl w:val="5DC6EF92"/>
    <w:lvl w:ilvl="0">
      <w:start w:val="3"/>
      <w:numFmt w:val="decimal"/>
      <w:lvlText w:val="%1."/>
      <w:lvlJc w:val="left"/>
      <w:pPr>
        <w:ind w:left="450" w:hanging="450"/>
      </w:pPr>
      <w:rPr>
        <w:rFonts w:hint="default"/>
      </w:rPr>
    </w:lvl>
    <w:lvl w:ilvl="1">
      <w:start w:val="1"/>
      <w:numFmt w:val="decimal"/>
      <w:lvlText w:val="%1.%2."/>
      <w:lvlJc w:val="left"/>
      <w:pPr>
        <w:ind w:left="1947" w:hanging="720"/>
      </w:pPr>
      <w:rPr>
        <w:rFonts w:hint="default"/>
      </w:rPr>
    </w:lvl>
    <w:lvl w:ilvl="2">
      <w:start w:val="1"/>
      <w:numFmt w:val="decimal"/>
      <w:lvlText w:val="%1.%2.%3."/>
      <w:lvlJc w:val="left"/>
      <w:pPr>
        <w:ind w:left="3174" w:hanging="720"/>
      </w:pPr>
      <w:rPr>
        <w:rFonts w:hint="default"/>
      </w:rPr>
    </w:lvl>
    <w:lvl w:ilvl="3">
      <w:start w:val="1"/>
      <w:numFmt w:val="decimal"/>
      <w:lvlText w:val="%1.%2.%3.%4."/>
      <w:lvlJc w:val="left"/>
      <w:pPr>
        <w:ind w:left="4761" w:hanging="1080"/>
      </w:pPr>
      <w:rPr>
        <w:rFonts w:hint="default"/>
      </w:rPr>
    </w:lvl>
    <w:lvl w:ilvl="4">
      <w:start w:val="1"/>
      <w:numFmt w:val="decimal"/>
      <w:lvlText w:val="%1.%2.%3.%4.%5."/>
      <w:lvlJc w:val="left"/>
      <w:pPr>
        <w:ind w:left="5988" w:hanging="1080"/>
      </w:pPr>
      <w:rPr>
        <w:rFonts w:hint="default"/>
      </w:rPr>
    </w:lvl>
    <w:lvl w:ilvl="5">
      <w:start w:val="1"/>
      <w:numFmt w:val="decimal"/>
      <w:lvlText w:val="%1.%2.%3.%4.%5.%6."/>
      <w:lvlJc w:val="left"/>
      <w:pPr>
        <w:ind w:left="7575" w:hanging="1440"/>
      </w:pPr>
      <w:rPr>
        <w:rFonts w:hint="default"/>
      </w:rPr>
    </w:lvl>
    <w:lvl w:ilvl="6">
      <w:start w:val="1"/>
      <w:numFmt w:val="decimal"/>
      <w:lvlText w:val="%1.%2.%3.%4.%5.%6.%7."/>
      <w:lvlJc w:val="left"/>
      <w:pPr>
        <w:ind w:left="9162" w:hanging="1800"/>
      </w:pPr>
      <w:rPr>
        <w:rFonts w:hint="default"/>
      </w:rPr>
    </w:lvl>
    <w:lvl w:ilvl="7">
      <w:start w:val="1"/>
      <w:numFmt w:val="decimal"/>
      <w:lvlText w:val="%1.%2.%3.%4.%5.%6.%7.%8."/>
      <w:lvlJc w:val="left"/>
      <w:pPr>
        <w:ind w:left="10389" w:hanging="1800"/>
      </w:pPr>
      <w:rPr>
        <w:rFonts w:hint="default"/>
      </w:rPr>
    </w:lvl>
    <w:lvl w:ilvl="8">
      <w:start w:val="1"/>
      <w:numFmt w:val="decimal"/>
      <w:lvlText w:val="%1.%2.%3.%4.%5.%6.%7.%8.%9."/>
      <w:lvlJc w:val="left"/>
      <w:pPr>
        <w:ind w:left="11976" w:hanging="2160"/>
      </w:pPr>
      <w:rPr>
        <w:rFonts w:hint="default"/>
      </w:rPr>
    </w:lvl>
  </w:abstractNum>
  <w:abstractNum w:abstractNumId="17" w15:restartNumberingAfterBreak="0">
    <w:nsid w:val="667D181F"/>
    <w:multiLevelType w:val="hybridMultilevel"/>
    <w:tmpl w:val="2274283C"/>
    <w:lvl w:ilvl="0" w:tplc="12360342">
      <w:start w:val="1"/>
      <w:numFmt w:val="bullet"/>
      <w:pStyle w:val="a"/>
      <w:lvlText w:val=""/>
      <w:lvlJc w:val="left"/>
      <w:pPr>
        <w:ind w:left="2149" w:hanging="360"/>
      </w:pPr>
      <w:rPr>
        <w:rFonts w:ascii="Symbol" w:hAnsi="Symbol" w:hint="default"/>
      </w:rPr>
    </w:lvl>
    <w:lvl w:ilvl="1" w:tplc="67B606D2">
      <w:start w:val="1"/>
      <w:numFmt w:val="bullet"/>
      <w:lvlText w:val="o"/>
      <w:lvlJc w:val="left"/>
      <w:pPr>
        <w:ind w:left="2869" w:hanging="360"/>
      </w:pPr>
      <w:rPr>
        <w:rFonts w:ascii="Courier New" w:hAnsi="Courier New" w:cs="Courier New" w:hint="default"/>
      </w:rPr>
    </w:lvl>
    <w:lvl w:ilvl="2" w:tplc="0D9ECE4E">
      <w:start w:val="1"/>
      <w:numFmt w:val="bullet"/>
      <w:lvlText w:val=""/>
      <w:lvlJc w:val="left"/>
      <w:pPr>
        <w:ind w:left="3589" w:hanging="360"/>
      </w:pPr>
      <w:rPr>
        <w:rFonts w:ascii="Wingdings" w:hAnsi="Wingdings" w:hint="default"/>
      </w:rPr>
    </w:lvl>
    <w:lvl w:ilvl="3" w:tplc="3D94DD6C">
      <w:start w:val="1"/>
      <w:numFmt w:val="bullet"/>
      <w:lvlText w:val=""/>
      <w:lvlJc w:val="left"/>
      <w:pPr>
        <w:ind w:left="4309" w:hanging="360"/>
      </w:pPr>
      <w:rPr>
        <w:rFonts w:ascii="Symbol" w:hAnsi="Symbol" w:hint="default"/>
      </w:rPr>
    </w:lvl>
    <w:lvl w:ilvl="4" w:tplc="FDC4EE8E">
      <w:start w:val="1"/>
      <w:numFmt w:val="bullet"/>
      <w:lvlText w:val="o"/>
      <w:lvlJc w:val="left"/>
      <w:pPr>
        <w:ind w:left="5029" w:hanging="360"/>
      </w:pPr>
      <w:rPr>
        <w:rFonts w:ascii="Courier New" w:hAnsi="Courier New" w:cs="Courier New" w:hint="default"/>
      </w:rPr>
    </w:lvl>
    <w:lvl w:ilvl="5" w:tplc="5E987848">
      <w:start w:val="1"/>
      <w:numFmt w:val="bullet"/>
      <w:lvlText w:val=""/>
      <w:lvlJc w:val="left"/>
      <w:pPr>
        <w:ind w:left="5749" w:hanging="360"/>
      </w:pPr>
      <w:rPr>
        <w:rFonts w:ascii="Wingdings" w:hAnsi="Wingdings" w:hint="default"/>
      </w:rPr>
    </w:lvl>
    <w:lvl w:ilvl="6" w:tplc="CC929208">
      <w:start w:val="1"/>
      <w:numFmt w:val="bullet"/>
      <w:lvlText w:val=""/>
      <w:lvlJc w:val="left"/>
      <w:pPr>
        <w:ind w:left="6469" w:hanging="360"/>
      </w:pPr>
      <w:rPr>
        <w:rFonts w:ascii="Symbol" w:hAnsi="Symbol" w:hint="default"/>
      </w:rPr>
    </w:lvl>
    <w:lvl w:ilvl="7" w:tplc="B3566B44">
      <w:start w:val="1"/>
      <w:numFmt w:val="bullet"/>
      <w:lvlText w:val="o"/>
      <w:lvlJc w:val="left"/>
      <w:pPr>
        <w:ind w:left="7189" w:hanging="360"/>
      </w:pPr>
      <w:rPr>
        <w:rFonts w:ascii="Courier New" w:hAnsi="Courier New" w:cs="Courier New" w:hint="default"/>
      </w:rPr>
    </w:lvl>
    <w:lvl w:ilvl="8" w:tplc="68DC44FA">
      <w:start w:val="1"/>
      <w:numFmt w:val="bullet"/>
      <w:lvlText w:val=""/>
      <w:lvlJc w:val="left"/>
      <w:pPr>
        <w:ind w:left="7909" w:hanging="360"/>
      </w:pPr>
      <w:rPr>
        <w:rFonts w:ascii="Wingdings" w:hAnsi="Wingdings" w:hint="default"/>
      </w:rPr>
    </w:lvl>
  </w:abstractNum>
  <w:num w:numId="1">
    <w:abstractNumId w:val="3"/>
  </w:num>
  <w:num w:numId="2">
    <w:abstractNumId w:val="17"/>
  </w:num>
  <w:num w:numId="3">
    <w:abstractNumId w:val="0"/>
  </w:num>
  <w:num w:numId="4">
    <w:abstractNumId w:val="4"/>
  </w:num>
  <w:num w:numId="5">
    <w:abstractNumId w:val="2"/>
  </w:num>
  <w:num w:numId="6">
    <w:abstractNumId w:val="15"/>
  </w:num>
  <w:num w:numId="7">
    <w:abstractNumId w:val="12"/>
  </w:num>
  <w:num w:numId="8">
    <w:abstractNumId w:val="7"/>
  </w:num>
  <w:num w:numId="9">
    <w:abstractNumId w:val="8"/>
  </w:num>
  <w:num w:numId="10">
    <w:abstractNumId w:val="10"/>
  </w:num>
  <w:num w:numId="11">
    <w:abstractNumId w:val="5"/>
  </w:num>
  <w:num w:numId="12">
    <w:abstractNumId w:val="16"/>
  </w:num>
  <w:num w:numId="13">
    <w:abstractNumId w:val="6"/>
  </w:num>
  <w:num w:numId="14">
    <w:abstractNumId w:val="14"/>
  </w:num>
  <w:num w:numId="15">
    <w:abstractNumId w:val="3"/>
  </w:num>
  <w:num w:numId="16">
    <w:abstractNumId w:val="3"/>
  </w:num>
  <w:num w:numId="17">
    <w:abstractNumId w:val="11"/>
  </w:num>
  <w:num w:numId="18">
    <w:abstractNumId w:val="1"/>
  </w:num>
  <w:num w:numId="19">
    <w:abstractNumId w:val="9"/>
  </w:num>
  <w:num w:numId="20">
    <w:abstractNumId w:val="13"/>
  </w:num>
  <w:num w:numId="21">
    <w:abstractNumId w:val="17"/>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A2C"/>
    <w:rsid w:val="00174226"/>
    <w:rsid w:val="00230A2C"/>
    <w:rsid w:val="00950FAA"/>
    <w:rsid w:val="009A2F7B"/>
    <w:rsid w:val="009D6B15"/>
    <w:rsid w:val="00A55E95"/>
    <w:rsid w:val="00C41012"/>
    <w:rsid w:val="00FC3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BBF98F-1AD5-47F3-802C-C7914BCB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paragraph" w:styleId="1">
    <w:name w:val="heading 1"/>
    <w:basedOn w:val="a0"/>
    <w:next w:val="a0"/>
    <w:link w:val="10"/>
    <w:uiPriority w:val="9"/>
    <w:qFormat/>
    <w:pPr>
      <w:keepNext/>
      <w:numPr>
        <w:numId w:val="1"/>
      </w:numPr>
      <w:tabs>
        <w:tab w:val="left" w:pos="993"/>
      </w:tabs>
      <w:spacing w:before="60" w:after="60" w:line="360" w:lineRule="auto"/>
      <w:jc w:val="center"/>
      <w:outlineLvl w:val="0"/>
    </w:pPr>
    <w:rPr>
      <w:rFonts w:asciiTheme="majorHAnsi" w:eastAsiaTheme="majorEastAsia" w:hAnsiTheme="majorHAnsi"/>
      <w:b/>
      <w:bCs/>
      <w:sz w:val="28"/>
      <w:szCs w:val="32"/>
    </w:rPr>
  </w:style>
  <w:style w:type="paragraph" w:styleId="2">
    <w:name w:val="heading 2"/>
    <w:basedOn w:val="1"/>
    <w:next w:val="a0"/>
    <w:link w:val="20"/>
    <w:uiPriority w:val="9"/>
    <w:unhideWhenUsed/>
    <w:qFormat/>
    <w:pPr>
      <w:numPr>
        <w:numId w:val="0"/>
      </w:numPr>
      <w:tabs>
        <w:tab w:val="clear" w:pos="993"/>
        <w:tab w:val="left" w:pos="1219"/>
      </w:tabs>
      <w:spacing w:before="240" w:after="120" w:line="240" w:lineRule="auto"/>
      <w:jc w:val="left"/>
      <w:outlineLvl w:val="1"/>
    </w:pPr>
  </w:style>
  <w:style w:type="paragraph" w:styleId="3">
    <w:name w:val="heading 3"/>
    <w:basedOn w:val="a0"/>
    <w:next w:val="a0"/>
    <w:link w:val="30"/>
    <w:uiPriority w:val="9"/>
    <w:unhideWhenUsed/>
    <w:qFormat/>
    <w:pPr>
      <w:keepNext/>
      <w:spacing w:before="120" w:after="60"/>
      <w:ind w:firstLine="0"/>
      <w:outlineLvl w:val="2"/>
    </w:pPr>
    <w:rPr>
      <w:rFonts w:asciiTheme="majorHAnsi" w:eastAsiaTheme="majorEastAsia" w:hAnsiTheme="majorHAnsi"/>
      <w:b/>
      <w:bCs/>
      <w:sz w:val="28"/>
    </w:rPr>
  </w:style>
  <w:style w:type="paragraph" w:styleId="4">
    <w:name w:val="heading 4"/>
    <w:basedOn w:val="a0"/>
    <w:next w:val="a0"/>
    <w:link w:val="40"/>
    <w:uiPriority w:val="9"/>
    <w:semiHidden/>
    <w:unhideWhenUsed/>
    <w:qFormat/>
    <w:pPr>
      <w:keepNext/>
      <w:spacing w:before="240" w:after="60"/>
      <w:outlineLvl w:val="3"/>
    </w:pPr>
    <w:rPr>
      <w:b/>
      <w:bCs/>
      <w:sz w:val="28"/>
      <w:szCs w:val="28"/>
    </w:rPr>
  </w:style>
  <w:style w:type="paragraph" w:styleId="5">
    <w:name w:val="heading 5"/>
    <w:basedOn w:val="a0"/>
    <w:next w:val="a0"/>
    <w:link w:val="50"/>
    <w:uiPriority w:val="9"/>
    <w:semiHidden/>
    <w:unhideWhenUsed/>
    <w:qFormat/>
    <w:pPr>
      <w:spacing w:before="240" w:after="60"/>
      <w:outlineLvl w:val="4"/>
    </w:pPr>
    <w:rPr>
      <w:b/>
      <w:bCs/>
      <w:i/>
      <w:iCs/>
      <w:sz w:val="26"/>
      <w:szCs w:val="26"/>
    </w:rPr>
  </w:style>
  <w:style w:type="paragraph" w:styleId="6">
    <w:name w:val="heading 6"/>
    <w:basedOn w:val="a0"/>
    <w:next w:val="a0"/>
    <w:link w:val="60"/>
    <w:uiPriority w:val="9"/>
    <w:semiHidden/>
    <w:unhideWhenUsed/>
    <w:qFormat/>
    <w:pPr>
      <w:spacing w:before="240" w:after="60"/>
      <w:outlineLvl w:val="5"/>
    </w:pPr>
    <w:rPr>
      <w:b/>
      <w:bCs/>
      <w:sz w:val="22"/>
      <w:szCs w:val="22"/>
    </w:rPr>
  </w:style>
  <w:style w:type="paragraph" w:styleId="7">
    <w:name w:val="heading 7"/>
    <w:basedOn w:val="a0"/>
    <w:next w:val="a0"/>
    <w:link w:val="70"/>
    <w:uiPriority w:val="9"/>
    <w:semiHidden/>
    <w:unhideWhenUsed/>
    <w:qFormat/>
    <w:pPr>
      <w:spacing w:before="240" w:after="60"/>
      <w:outlineLvl w:val="6"/>
    </w:pPr>
  </w:style>
  <w:style w:type="paragraph" w:styleId="8">
    <w:name w:val="heading 8"/>
    <w:basedOn w:val="a0"/>
    <w:next w:val="a0"/>
    <w:link w:val="80"/>
    <w:uiPriority w:val="9"/>
    <w:semiHidden/>
    <w:unhideWhenUsed/>
    <w:qFormat/>
    <w:pPr>
      <w:spacing w:before="240" w:after="60"/>
      <w:outlineLvl w:val="7"/>
    </w:pPr>
    <w:rPr>
      <w:i/>
      <w:iCs/>
    </w:rPr>
  </w:style>
  <w:style w:type="paragraph" w:styleId="9">
    <w:name w:val="heading 9"/>
    <w:basedOn w:val="a0"/>
    <w:next w:val="a0"/>
    <w:link w:val="90"/>
    <w:uiPriority w:val="9"/>
    <w:semiHidden/>
    <w:unhideWhenUsed/>
    <w:qFormat/>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4">
    <w:name w:val="endnote text"/>
    <w:basedOn w:val="a0"/>
    <w:link w:val="a5"/>
    <w:uiPriority w:val="99"/>
    <w:semiHidden/>
    <w:unhideWhenUsed/>
    <w:rPr>
      <w:sz w:val="20"/>
    </w:rPr>
  </w:style>
  <w:style w:type="character" w:customStyle="1" w:styleId="a5">
    <w:name w:val="Текст концевой сноски Знак"/>
    <w:link w:val="a4"/>
    <w:uiPriority w:val="99"/>
    <w:rPr>
      <w:sz w:val="20"/>
    </w:rPr>
  </w:style>
  <w:style w:type="character" w:styleId="a6">
    <w:name w:val="endnote reference"/>
    <w:basedOn w:val="a1"/>
    <w:uiPriority w:val="99"/>
    <w:semiHidden/>
    <w:unhideWhenUsed/>
    <w:rPr>
      <w:vertAlign w:val="superscript"/>
    </w:rPr>
  </w:style>
  <w:style w:type="paragraph" w:styleId="a7">
    <w:name w:val="table of figures"/>
    <w:basedOn w:val="a0"/>
    <w:next w:val="a0"/>
    <w:uiPriority w:val="99"/>
    <w:unhideWhenUsed/>
  </w:style>
  <w:style w:type="paragraph" w:styleId="a8">
    <w:name w:val="Title"/>
    <w:basedOn w:val="a0"/>
    <w:next w:val="a0"/>
    <w:link w:val="a9"/>
    <w:uiPriority w:val="10"/>
    <w:qFormat/>
    <w:pPr>
      <w:spacing w:before="240" w:after="60"/>
      <w:jc w:val="center"/>
      <w:outlineLvl w:val="0"/>
    </w:pPr>
    <w:rPr>
      <w:rFonts w:asciiTheme="majorHAnsi" w:eastAsiaTheme="majorEastAsia" w:hAnsiTheme="majorHAnsi"/>
      <w:b/>
      <w:bCs/>
      <w:sz w:val="32"/>
      <w:szCs w:val="32"/>
    </w:rPr>
  </w:style>
  <w:style w:type="character" w:customStyle="1" w:styleId="a9">
    <w:name w:val="Название Знак"/>
    <w:basedOn w:val="a1"/>
    <w:link w:val="a8"/>
    <w:uiPriority w:val="10"/>
    <w:rPr>
      <w:rFonts w:asciiTheme="majorHAnsi" w:eastAsiaTheme="majorEastAsia" w:hAnsiTheme="majorHAnsi"/>
      <w:b/>
      <w:bCs/>
      <w:sz w:val="32"/>
      <w:szCs w:val="32"/>
    </w:rPr>
  </w:style>
  <w:style w:type="character" w:customStyle="1" w:styleId="10">
    <w:name w:val="Заголовок 1 Знак"/>
    <w:basedOn w:val="a1"/>
    <w:link w:val="1"/>
    <w:uiPriority w:val="9"/>
    <w:rPr>
      <w:rFonts w:asciiTheme="majorHAnsi" w:eastAsiaTheme="majorEastAsia" w:hAnsiTheme="majorHAnsi"/>
      <w:b/>
      <w:bCs/>
      <w:sz w:val="28"/>
      <w:szCs w:val="32"/>
    </w:rPr>
  </w:style>
  <w:style w:type="character" w:customStyle="1" w:styleId="20">
    <w:name w:val="Заголовок 2 Знак"/>
    <w:basedOn w:val="a1"/>
    <w:link w:val="2"/>
    <w:uiPriority w:val="9"/>
    <w:rPr>
      <w:rFonts w:asciiTheme="majorHAnsi" w:eastAsiaTheme="majorEastAsia" w:hAnsiTheme="majorHAnsi"/>
      <w:b/>
      <w:bCs/>
      <w:sz w:val="28"/>
      <w:szCs w:val="32"/>
    </w:rPr>
  </w:style>
  <w:style w:type="character" w:customStyle="1" w:styleId="30">
    <w:name w:val="Заголовок 3 Знак"/>
    <w:basedOn w:val="a1"/>
    <w:link w:val="3"/>
    <w:uiPriority w:val="9"/>
    <w:rPr>
      <w:rFonts w:asciiTheme="majorHAnsi" w:eastAsiaTheme="majorEastAsia" w:hAnsiTheme="majorHAnsi"/>
      <w:b/>
      <w:bCs/>
      <w:sz w:val="28"/>
      <w:szCs w:val="24"/>
    </w:rPr>
  </w:style>
  <w:style w:type="character" w:customStyle="1" w:styleId="40">
    <w:name w:val="Заголовок 4 Знак"/>
    <w:basedOn w:val="a1"/>
    <w:link w:val="4"/>
    <w:uiPriority w:val="9"/>
    <w:semiHidden/>
    <w:rPr>
      <w:b/>
      <w:bCs/>
      <w:sz w:val="28"/>
      <w:szCs w:val="28"/>
    </w:rPr>
  </w:style>
  <w:style w:type="character" w:customStyle="1" w:styleId="50">
    <w:name w:val="Заголовок 5 Знак"/>
    <w:basedOn w:val="a1"/>
    <w:link w:val="5"/>
    <w:uiPriority w:val="9"/>
    <w:semiHidden/>
    <w:rPr>
      <w:b/>
      <w:bCs/>
      <w:i/>
      <w:iCs/>
      <w:sz w:val="26"/>
      <w:szCs w:val="26"/>
    </w:rPr>
  </w:style>
  <w:style w:type="character" w:customStyle="1" w:styleId="60">
    <w:name w:val="Заголовок 6 Знак"/>
    <w:basedOn w:val="a1"/>
    <w:link w:val="6"/>
    <w:uiPriority w:val="9"/>
    <w:semiHidden/>
    <w:rPr>
      <w:b/>
      <w:bCs/>
    </w:rPr>
  </w:style>
  <w:style w:type="character" w:customStyle="1" w:styleId="70">
    <w:name w:val="Заголовок 7 Знак"/>
    <w:basedOn w:val="a1"/>
    <w:link w:val="7"/>
    <w:uiPriority w:val="9"/>
    <w:semiHidden/>
    <w:rPr>
      <w:sz w:val="24"/>
      <w:szCs w:val="24"/>
    </w:rPr>
  </w:style>
  <w:style w:type="character" w:customStyle="1" w:styleId="80">
    <w:name w:val="Заголовок 8 Знак"/>
    <w:basedOn w:val="a1"/>
    <w:link w:val="8"/>
    <w:uiPriority w:val="9"/>
    <w:semiHidden/>
    <w:rPr>
      <w:i/>
      <w:iCs/>
      <w:sz w:val="24"/>
      <w:szCs w:val="24"/>
    </w:rPr>
  </w:style>
  <w:style w:type="character" w:customStyle="1" w:styleId="90">
    <w:name w:val="Заголовок 9 Знак"/>
    <w:basedOn w:val="a1"/>
    <w:link w:val="9"/>
    <w:uiPriority w:val="9"/>
    <w:semiHidden/>
    <w:rPr>
      <w:rFonts w:asciiTheme="majorHAnsi" w:eastAsiaTheme="majorEastAsia" w:hAnsiTheme="majorHAnsi"/>
    </w:rPr>
  </w:style>
  <w:style w:type="paragraph" w:styleId="aa">
    <w:name w:val="caption"/>
    <w:basedOn w:val="a0"/>
    <w:next w:val="a0"/>
    <w:uiPriority w:val="35"/>
    <w:semiHidden/>
    <w:unhideWhenUsed/>
    <w:rPr>
      <w:caps/>
      <w:spacing w:val="10"/>
      <w:sz w:val="18"/>
      <w:szCs w:val="18"/>
    </w:rPr>
  </w:style>
  <w:style w:type="paragraph" w:styleId="ab">
    <w:name w:val="Subtitle"/>
    <w:basedOn w:val="a0"/>
    <w:next w:val="a0"/>
    <w:link w:val="ac"/>
    <w:uiPriority w:val="11"/>
    <w:qFormat/>
    <w:pPr>
      <w:spacing w:after="60"/>
      <w:jc w:val="center"/>
      <w:outlineLvl w:val="1"/>
    </w:pPr>
    <w:rPr>
      <w:rFonts w:asciiTheme="majorHAnsi" w:eastAsiaTheme="majorEastAsia" w:hAnsiTheme="majorHAnsi"/>
    </w:rPr>
  </w:style>
  <w:style w:type="character" w:customStyle="1" w:styleId="ac">
    <w:name w:val="Подзаголовок Знак"/>
    <w:basedOn w:val="a1"/>
    <w:link w:val="ab"/>
    <w:uiPriority w:val="11"/>
    <w:rPr>
      <w:rFonts w:asciiTheme="majorHAnsi" w:eastAsiaTheme="majorEastAsia" w:hAnsiTheme="majorHAnsi"/>
      <w:sz w:val="24"/>
      <w:szCs w:val="24"/>
    </w:rPr>
  </w:style>
  <w:style w:type="character" w:styleId="ad">
    <w:name w:val="Strong"/>
    <w:basedOn w:val="a1"/>
    <w:uiPriority w:val="22"/>
    <w:qFormat/>
    <w:rPr>
      <w:b/>
      <w:bCs/>
    </w:rPr>
  </w:style>
  <w:style w:type="character" w:styleId="ae">
    <w:name w:val="Emphasis"/>
    <w:basedOn w:val="a1"/>
    <w:uiPriority w:val="20"/>
    <w:qFormat/>
    <w:rPr>
      <w:rFonts w:asciiTheme="minorHAnsi" w:hAnsiTheme="minorHAnsi"/>
      <w:b/>
      <w:i/>
      <w:iCs/>
    </w:rPr>
  </w:style>
  <w:style w:type="paragraph" w:styleId="af">
    <w:name w:val="No Spacing"/>
    <w:basedOn w:val="a0"/>
    <w:link w:val="af0"/>
    <w:uiPriority w:val="1"/>
    <w:qFormat/>
    <w:rPr>
      <w:szCs w:val="32"/>
    </w:rPr>
  </w:style>
  <w:style w:type="character" w:customStyle="1" w:styleId="af0">
    <w:name w:val="Без интервала Знак"/>
    <w:basedOn w:val="a1"/>
    <w:link w:val="af"/>
    <w:uiPriority w:val="1"/>
    <w:rPr>
      <w:sz w:val="24"/>
      <w:szCs w:val="32"/>
    </w:rPr>
  </w:style>
  <w:style w:type="paragraph" w:styleId="a">
    <w:name w:val="List Paragraph"/>
    <w:basedOn w:val="a0"/>
    <w:uiPriority w:val="99"/>
    <w:qFormat/>
    <w:pPr>
      <w:numPr>
        <w:numId w:val="2"/>
      </w:numPr>
      <w:tabs>
        <w:tab w:val="left" w:pos="992"/>
      </w:tabs>
    </w:pPr>
    <w:rPr>
      <w:sz w:val="28"/>
    </w:rPr>
  </w:style>
  <w:style w:type="paragraph" w:styleId="22">
    <w:name w:val="Quote"/>
    <w:basedOn w:val="a0"/>
    <w:next w:val="a0"/>
    <w:link w:val="23"/>
    <w:uiPriority w:val="29"/>
    <w:qFormat/>
    <w:rPr>
      <w:i/>
    </w:rPr>
  </w:style>
  <w:style w:type="character" w:customStyle="1" w:styleId="23">
    <w:name w:val="Цитата 2 Знак"/>
    <w:basedOn w:val="a1"/>
    <w:link w:val="22"/>
    <w:uiPriority w:val="29"/>
    <w:rPr>
      <w:i/>
      <w:sz w:val="24"/>
      <w:szCs w:val="24"/>
    </w:rPr>
  </w:style>
  <w:style w:type="paragraph" w:styleId="af1">
    <w:name w:val="Intense Quote"/>
    <w:basedOn w:val="a0"/>
    <w:next w:val="a0"/>
    <w:link w:val="af2"/>
    <w:uiPriority w:val="30"/>
    <w:qFormat/>
    <w:pPr>
      <w:ind w:left="720" w:right="720"/>
    </w:pPr>
    <w:rPr>
      <w:b/>
      <w:i/>
      <w:szCs w:val="22"/>
    </w:rPr>
  </w:style>
  <w:style w:type="character" w:customStyle="1" w:styleId="af2">
    <w:name w:val="Выделенная цитата Знак"/>
    <w:basedOn w:val="a1"/>
    <w:link w:val="af1"/>
    <w:uiPriority w:val="30"/>
    <w:rPr>
      <w:b/>
      <w:i/>
      <w:sz w:val="24"/>
    </w:rPr>
  </w:style>
  <w:style w:type="character" w:styleId="af3">
    <w:name w:val="Subtle Emphasis"/>
    <w:uiPriority w:val="19"/>
    <w:qFormat/>
    <w:rPr>
      <w:i/>
      <w:color w:val="5A5A5A" w:themeColor="text1" w:themeTint="A5"/>
    </w:rPr>
  </w:style>
  <w:style w:type="character" w:styleId="af4">
    <w:name w:val="Intense Emphasis"/>
    <w:basedOn w:val="a1"/>
    <w:uiPriority w:val="21"/>
    <w:qFormat/>
    <w:rPr>
      <w:b/>
      <w:i/>
      <w:sz w:val="24"/>
      <w:szCs w:val="24"/>
      <w:u w:val="single"/>
    </w:rPr>
  </w:style>
  <w:style w:type="character" w:styleId="af5">
    <w:name w:val="Subtle Reference"/>
    <w:basedOn w:val="a1"/>
    <w:uiPriority w:val="31"/>
    <w:qFormat/>
    <w:rPr>
      <w:sz w:val="24"/>
      <w:szCs w:val="24"/>
      <w:u w:val="single"/>
    </w:rPr>
  </w:style>
  <w:style w:type="character" w:styleId="af6">
    <w:name w:val="Intense Reference"/>
    <w:basedOn w:val="a1"/>
    <w:uiPriority w:val="32"/>
    <w:qFormat/>
    <w:rPr>
      <w:b/>
      <w:sz w:val="24"/>
      <w:u w:val="single"/>
    </w:rPr>
  </w:style>
  <w:style w:type="character" w:styleId="af7">
    <w:name w:val="Book Title"/>
    <w:basedOn w:val="a1"/>
    <w:uiPriority w:val="33"/>
    <w:qFormat/>
    <w:rPr>
      <w:rFonts w:asciiTheme="majorHAnsi" w:eastAsiaTheme="majorEastAsia" w:hAnsiTheme="majorHAnsi"/>
      <w:b/>
      <w:i/>
      <w:sz w:val="24"/>
      <w:szCs w:val="24"/>
    </w:rPr>
  </w:style>
  <w:style w:type="paragraph" w:styleId="af8">
    <w:name w:val="TOC Heading"/>
    <w:basedOn w:val="1"/>
    <w:next w:val="a0"/>
    <w:uiPriority w:val="39"/>
    <w:unhideWhenUsed/>
    <w:qFormat/>
    <w:pPr>
      <w:outlineLvl w:val="9"/>
    </w:pPr>
  </w:style>
  <w:style w:type="paragraph" w:styleId="af9">
    <w:name w:val="header"/>
    <w:basedOn w:val="a0"/>
    <w:link w:val="afa"/>
    <w:uiPriority w:val="99"/>
    <w:unhideWhenUsed/>
    <w:pPr>
      <w:tabs>
        <w:tab w:val="center" w:pos="4677"/>
        <w:tab w:val="right" w:pos="9355"/>
      </w:tabs>
    </w:pPr>
  </w:style>
  <w:style w:type="character" w:customStyle="1" w:styleId="afa">
    <w:name w:val="Верхний колонтитул Знак"/>
    <w:basedOn w:val="a1"/>
    <w:link w:val="af9"/>
    <w:uiPriority w:val="99"/>
    <w:rPr>
      <w:sz w:val="24"/>
      <w:szCs w:val="24"/>
    </w:rPr>
  </w:style>
  <w:style w:type="paragraph" w:styleId="afb">
    <w:name w:val="footer"/>
    <w:basedOn w:val="a0"/>
    <w:link w:val="afc"/>
    <w:uiPriority w:val="99"/>
    <w:unhideWhenUsed/>
    <w:pPr>
      <w:tabs>
        <w:tab w:val="center" w:pos="4677"/>
        <w:tab w:val="right" w:pos="9355"/>
      </w:tabs>
    </w:pPr>
  </w:style>
  <w:style w:type="character" w:customStyle="1" w:styleId="afc">
    <w:name w:val="Нижний колонтитул Знак"/>
    <w:basedOn w:val="a1"/>
    <w:link w:val="afb"/>
    <w:uiPriority w:val="99"/>
    <w:rPr>
      <w:sz w:val="24"/>
      <w:szCs w:val="24"/>
    </w:rPr>
  </w:style>
  <w:style w:type="paragraph" w:styleId="afd">
    <w:name w:val="Balloon Text"/>
    <w:basedOn w:val="a0"/>
    <w:link w:val="afe"/>
    <w:uiPriority w:val="99"/>
    <w:semiHidden/>
    <w:unhideWhenUsed/>
    <w:rPr>
      <w:rFonts w:ascii="Tahoma" w:hAnsi="Tahoma" w:cs="Tahoma"/>
      <w:sz w:val="16"/>
      <w:szCs w:val="16"/>
    </w:rPr>
  </w:style>
  <w:style w:type="character" w:customStyle="1" w:styleId="afe">
    <w:name w:val="Текст выноски Знак"/>
    <w:basedOn w:val="a1"/>
    <w:link w:val="afd"/>
    <w:uiPriority w:val="99"/>
    <w:semiHidden/>
    <w:rPr>
      <w:rFonts w:ascii="Tahoma" w:hAnsi="Tahoma" w:cs="Tahoma"/>
      <w:sz w:val="16"/>
      <w:szCs w:val="16"/>
    </w:rPr>
  </w:style>
  <w:style w:type="paragraph" w:styleId="12">
    <w:name w:val="toc 1"/>
    <w:basedOn w:val="a0"/>
    <w:next w:val="a0"/>
    <w:uiPriority w:val="39"/>
    <w:unhideWhenUsed/>
    <w:qFormat/>
    <w:pPr>
      <w:tabs>
        <w:tab w:val="left" w:pos="720"/>
        <w:tab w:val="right" w:leader="dot" w:pos="9627"/>
      </w:tabs>
      <w:ind w:firstLine="0"/>
    </w:pPr>
    <w:rPr>
      <w:rFonts w:cstheme="minorHAnsi"/>
      <w:bCs/>
      <w:sz w:val="28"/>
      <w:szCs w:val="20"/>
    </w:rPr>
  </w:style>
  <w:style w:type="paragraph" w:styleId="24">
    <w:name w:val="toc 2"/>
    <w:basedOn w:val="a0"/>
    <w:next w:val="a0"/>
    <w:uiPriority w:val="39"/>
    <w:unhideWhenUsed/>
    <w:qFormat/>
    <w:pPr>
      <w:tabs>
        <w:tab w:val="left" w:pos="567"/>
        <w:tab w:val="left" w:pos="1440"/>
        <w:tab w:val="right" w:leader="dot" w:pos="9627"/>
      </w:tabs>
      <w:ind w:firstLine="0"/>
    </w:pPr>
    <w:rPr>
      <w:rFonts w:cstheme="minorHAnsi"/>
      <w:iCs/>
      <w:spacing w:val="-8"/>
      <w:sz w:val="28"/>
      <w:szCs w:val="20"/>
    </w:rPr>
  </w:style>
  <w:style w:type="paragraph" w:styleId="32">
    <w:name w:val="toc 3"/>
    <w:basedOn w:val="a0"/>
    <w:next w:val="a0"/>
    <w:uiPriority w:val="39"/>
    <w:unhideWhenUsed/>
    <w:qFormat/>
    <w:pPr>
      <w:ind w:left="480"/>
    </w:pPr>
    <w:rPr>
      <w:rFonts w:cstheme="minorHAnsi"/>
      <w:sz w:val="28"/>
      <w:szCs w:val="20"/>
    </w:rPr>
  </w:style>
  <w:style w:type="paragraph" w:styleId="42">
    <w:name w:val="toc 4"/>
    <w:basedOn w:val="a0"/>
    <w:next w:val="a0"/>
    <w:uiPriority w:val="39"/>
    <w:unhideWhenUsed/>
    <w:pPr>
      <w:ind w:left="720"/>
    </w:pPr>
    <w:rPr>
      <w:rFonts w:cstheme="minorHAnsi"/>
      <w:sz w:val="20"/>
      <w:szCs w:val="20"/>
    </w:rPr>
  </w:style>
  <w:style w:type="paragraph" w:styleId="52">
    <w:name w:val="toc 5"/>
    <w:basedOn w:val="a0"/>
    <w:next w:val="a0"/>
    <w:uiPriority w:val="39"/>
    <w:unhideWhenUsed/>
    <w:pPr>
      <w:ind w:left="960"/>
    </w:pPr>
    <w:rPr>
      <w:rFonts w:cstheme="minorHAnsi"/>
      <w:sz w:val="20"/>
      <w:szCs w:val="20"/>
    </w:rPr>
  </w:style>
  <w:style w:type="paragraph" w:styleId="61">
    <w:name w:val="toc 6"/>
    <w:basedOn w:val="a0"/>
    <w:next w:val="a0"/>
    <w:uiPriority w:val="39"/>
    <w:unhideWhenUsed/>
    <w:pPr>
      <w:ind w:left="1200"/>
    </w:pPr>
    <w:rPr>
      <w:rFonts w:cstheme="minorHAnsi"/>
      <w:sz w:val="20"/>
      <w:szCs w:val="20"/>
    </w:rPr>
  </w:style>
  <w:style w:type="paragraph" w:styleId="71">
    <w:name w:val="toc 7"/>
    <w:basedOn w:val="a0"/>
    <w:next w:val="a0"/>
    <w:uiPriority w:val="39"/>
    <w:unhideWhenUsed/>
    <w:pPr>
      <w:ind w:left="1440"/>
    </w:pPr>
    <w:rPr>
      <w:rFonts w:cstheme="minorHAnsi"/>
      <w:sz w:val="20"/>
      <w:szCs w:val="20"/>
    </w:rPr>
  </w:style>
  <w:style w:type="paragraph" w:styleId="81">
    <w:name w:val="toc 8"/>
    <w:basedOn w:val="a0"/>
    <w:next w:val="a0"/>
    <w:uiPriority w:val="39"/>
    <w:unhideWhenUsed/>
    <w:pPr>
      <w:ind w:left="1680"/>
    </w:pPr>
    <w:rPr>
      <w:rFonts w:cstheme="minorHAnsi"/>
      <w:sz w:val="20"/>
      <w:szCs w:val="20"/>
    </w:rPr>
  </w:style>
  <w:style w:type="paragraph" w:styleId="91">
    <w:name w:val="toc 9"/>
    <w:basedOn w:val="a0"/>
    <w:next w:val="a0"/>
    <w:uiPriority w:val="39"/>
    <w:unhideWhenUsed/>
    <w:pPr>
      <w:ind w:left="1920"/>
    </w:pPr>
    <w:rPr>
      <w:rFonts w:cstheme="minorHAnsi"/>
      <w:sz w:val="20"/>
      <w:szCs w:val="20"/>
    </w:rPr>
  </w:style>
  <w:style w:type="character" w:styleId="aff">
    <w:name w:val="Hyperlink"/>
    <w:basedOn w:val="a1"/>
    <w:uiPriority w:val="99"/>
    <w:unhideWhenUsed/>
    <w:rPr>
      <w:color w:val="0000FF" w:themeColor="hyperlink"/>
      <w:u w:val="single"/>
    </w:rPr>
  </w:style>
  <w:style w:type="paragraph" w:styleId="aff0">
    <w:name w:val="footnote text"/>
    <w:basedOn w:val="a0"/>
    <w:link w:val="aff1"/>
    <w:uiPriority w:val="99"/>
    <w:semiHidden/>
    <w:unhideWhenUsed/>
    <w:rPr>
      <w:sz w:val="20"/>
      <w:szCs w:val="20"/>
    </w:rPr>
  </w:style>
  <w:style w:type="character" w:customStyle="1" w:styleId="aff1">
    <w:name w:val="Текст сноски Знак"/>
    <w:basedOn w:val="a1"/>
    <w:link w:val="aff0"/>
    <w:uiPriority w:val="99"/>
    <w:semiHidden/>
    <w:rPr>
      <w:sz w:val="20"/>
      <w:szCs w:val="20"/>
    </w:rPr>
  </w:style>
  <w:style w:type="character" w:styleId="aff2">
    <w:name w:val="footnote reference"/>
    <w:basedOn w:val="a1"/>
    <w:uiPriority w:val="99"/>
    <w:semiHidden/>
    <w:unhideWhenUsed/>
    <w:rPr>
      <w:vertAlign w:val="superscript"/>
    </w:rPr>
  </w:style>
  <w:style w:type="character" w:styleId="aff3">
    <w:name w:val="annotation reference"/>
    <w:basedOn w:val="a1"/>
    <w:uiPriority w:val="99"/>
    <w:semiHidden/>
    <w:unhideWhenUsed/>
    <w:rPr>
      <w:sz w:val="16"/>
      <w:szCs w:val="16"/>
    </w:rPr>
  </w:style>
  <w:style w:type="paragraph" w:styleId="aff4">
    <w:name w:val="annotation text"/>
    <w:basedOn w:val="a0"/>
    <w:link w:val="aff5"/>
    <w:uiPriority w:val="99"/>
    <w:unhideWhenUsed/>
    <w:rPr>
      <w:sz w:val="20"/>
      <w:szCs w:val="20"/>
    </w:rPr>
  </w:style>
  <w:style w:type="character" w:customStyle="1" w:styleId="aff5">
    <w:name w:val="Текст примечания Знак"/>
    <w:basedOn w:val="a1"/>
    <w:link w:val="aff4"/>
    <w:uiPriority w:val="99"/>
    <w:rPr>
      <w:sz w:val="20"/>
      <w:szCs w:val="20"/>
    </w:rPr>
  </w:style>
  <w:style w:type="paragraph" w:styleId="aff6">
    <w:name w:val="annotation subject"/>
    <w:basedOn w:val="aff4"/>
    <w:next w:val="aff4"/>
    <w:link w:val="aff7"/>
    <w:uiPriority w:val="99"/>
    <w:semiHidden/>
    <w:unhideWhenUsed/>
    <w:rPr>
      <w:b/>
      <w:bCs/>
    </w:rPr>
  </w:style>
  <w:style w:type="character" w:customStyle="1" w:styleId="aff7">
    <w:name w:val="Тема примечания Знак"/>
    <w:basedOn w:val="aff5"/>
    <w:link w:val="aff6"/>
    <w:uiPriority w:val="99"/>
    <w:semiHidden/>
    <w:rPr>
      <w:b/>
      <w:bCs/>
      <w:sz w:val="20"/>
      <w:szCs w:val="20"/>
    </w:rPr>
  </w:style>
  <w:style w:type="table" w:styleId="aff8">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Pr>
      <w:rFonts w:ascii="Times New Roman" w:hAnsi="Times New Roman"/>
      <w:sz w:val="24"/>
      <w:szCs w:val="24"/>
    </w:rPr>
  </w:style>
  <w:style w:type="paragraph" w:customStyle="1" w:styleId="aff9">
    <w:name w:val="Абзац текст"/>
    <w:basedOn w:val="a0"/>
    <w:link w:val="affa"/>
    <w:uiPriority w:val="99"/>
    <w:qFormat/>
    <w:rPr>
      <w:sz w:val="28"/>
    </w:rPr>
  </w:style>
  <w:style w:type="character" w:customStyle="1" w:styleId="affa">
    <w:name w:val="Абзац текст Знак"/>
    <w:basedOn w:val="a1"/>
    <w:link w:val="aff9"/>
    <w:uiPriority w:val="99"/>
    <w:rPr>
      <w:sz w:val="28"/>
      <w:szCs w:val="24"/>
    </w:rPr>
  </w:style>
  <w:style w:type="numbering" w:customStyle="1" w:styleId="13">
    <w:name w:val="Нет списка1"/>
    <w:next w:val="a3"/>
    <w:uiPriority w:val="99"/>
    <w:semiHidden/>
    <w:unhideWhenUsed/>
  </w:style>
  <w:style w:type="paragraph" w:customStyle="1" w:styleId="ConsPlusNonformat">
    <w:name w:val="ConsPlusNonformat"/>
    <w:pPr>
      <w:widowControl w:val="0"/>
    </w:pPr>
    <w:rPr>
      <w:rFonts w:ascii="Courier New" w:eastAsia="Times New Roman" w:hAnsi="Courier New" w:cs="Courier New"/>
      <w:sz w:val="20"/>
      <w:szCs w:val="20"/>
      <w:lang w:eastAsia="ru-RU"/>
    </w:rPr>
  </w:style>
  <w:style w:type="character" w:styleId="affb">
    <w:name w:val="FollowedHyperlink"/>
    <w:basedOn w:val="a1"/>
    <w:uiPriority w:val="99"/>
    <w:semiHidden/>
    <w:unhideWhenUsed/>
    <w:rPr>
      <w:color w:val="800080"/>
      <w:u w:val="single"/>
    </w:rPr>
  </w:style>
  <w:style w:type="paragraph" w:customStyle="1" w:styleId="font0">
    <w:name w:val="font0"/>
    <w:basedOn w:val="a0"/>
    <w:pPr>
      <w:spacing w:before="100" w:beforeAutospacing="1" w:after="100" w:afterAutospacing="1"/>
      <w:ind w:firstLine="0"/>
    </w:pPr>
    <w:rPr>
      <w:rFonts w:ascii="Arial CYR" w:eastAsia="Times New Roman" w:hAnsi="Arial CYR" w:cs="Arial CYR"/>
      <w:sz w:val="20"/>
      <w:szCs w:val="20"/>
      <w:lang w:eastAsia="ru-RU"/>
    </w:rPr>
  </w:style>
  <w:style w:type="paragraph" w:customStyle="1" w:styleId="font1">
    <w:name w:val="font1"/>
    <w:basedOn w:val="a0"/>
    <w:pPr>
      <w:spacing w:before="100" w:beforeAutospacing="1" w:after="100" w:afterAutospacing="1"/>
      <w:ind w:firstLine="0"/>
    </w:pPr>
    <w:rPr>
      <w:rFonts w:ascii="Calibri" w:eastAsia="Times New Roman" w:hAnsi="Calibri"/>
      <w:color w:val="000000"/>
      <w:sz w:val="22"/>
      <w:szCs w:val="22"/>
      <w:lang w:eastAsia="ru-RU"/>
    </w:rPr>
  </w:style>
  <w:style w:type="paragraph" w:customStyle="1" w:styleId="font5">
    <w:name w:val="font5"/>
    <w:basedOn w:val="a0"/>
    <w:pPr>
      <w:spacing w:before="100" w:beforeAutospacing="1" w:after="100" w:afterAutospacing="1"/>
      <w:ind w:firstLine="0"/>
    </w:pPr>
    <w:rPr>
      <w:rFonts w:ascii="Arial" w:eastAsia="Times New Roman" w:hAnsi="Arial" w:cs="Arial"/>
      <w:b/>
      <w:bCs/>
      <w:sz w:val="20"/>
      <w:szCs w:val="20"/>
      <w:lang w:eastAsia="ru-RU"/>
    </w:rPr>
  </w:style>
  <w:style w:type="paragraph" w:customStyle="1" w:styleId="font6">
    <w:name w:val="font6"/>
    <w:basedOn w:val="a0"/>
    <w:pPr>
      <w:spacing w:before="100" w:beforeAutospacing="1" w:after="100" w:afterAutospacing="1"/>
      <w:ind w:firstLine="0"/>
    </w:pPr>
    <w:rPr>
      <w:rFonts w:ascii="Arial" w:eastAsia="Times New Roman" w:hAnsi="Arial" w:cs="Arial"/>
      <w:sz w:val="20"/>
      <w:szCs w:val="20"/>
      <w:lang w:eastAsia="ru-RU"/>
    </w:rPr>
  </w:style>
  <w:style w:type="paragraph" w:customStyle="1" w:styleId="font7">
    <w:name w:val="font7"/>
    <w:basedOn w:val="a0"/>
    <w:pPr>
      <w:spacing w:before="100" w:beforeAutospacing="1" w:after="100" w:afterAutospacing="1"/>
      <w:ind w:firstLine="0"/>
    </w:pPr>
    <w:rPr>
      <w:rFonts w:ascii="Arial" w:eastAsia="Times New Roman" w:hAnsi="Arial" w:cs="Arial"/>
      <w:i/>
      <w:iCs/>
      <w:sz w:val="20"/>
      <w:szCs w:val="20"/>
      <w:lang w:eastAsia="ru-RU"/>
    </w:rPr>
  </w:style>
  <w:style w:type="paragraph" w:customStyle="1" w:styleId="font8">
    <w:name w:val="font8"/>
    <w:basedOn w:val="a0"/>
    <w:pPr>
      <w:spacing w:before="100" w:beforeAutospacing="1" w:after="100" w:afterAutospacing="1"/>
      <w:ind w:firstLine="0"/>
    </w:pPr>
    <w:rPr>
      <w:rFonts w:ascii="Arial" w:eastAsia="Times New Roman" w:hAnsi="Arial" w:cs="Arial"/>
      <w:b/>
      <w:bCs/>
      <w:i/>
      <w:iCs/>
      <w:sz w:val="20"/>
      <w:szCs w:val="20"/>
      <w:lang w:eastAsia="ru-RU"/>
    </w:rPr>
  </w:style>
  <w:style w:type="paragraph" w:customStyle="1" w:styleId="font9">
    <w:name w:val="font9"/>
    <w:basedOn w:val="a0"/>
    <w:pPr>
      <w:spacing w:before="100" w:beforeAutospacing="1" w:after="100" w:afterAutospacing="1"/>
      <w:ind w:firstLine="0"/>
    </w:pPr>
    <w:rPr>
      <w:rFonts w:ascii="Arial" w:eastAsia="Times New Roman" w:hAnsi="Arial" w:cs="Arial"/>
      <w:sz w:val="20"/>
      <w:szCs w:val="20"/>
      <w:u w:val="single"/>
      <w:lang w:eastAsia="ru-RU"/>
    </w:rPr>
  </w:style>
  <w:style w:type="paragraph" w:customStyle="1" w:styleId="font10">
    <w:name w:val="font10"/>
    <w:basedOn w:val="a0"/>
    <w:pPr>
      <w:spacing w:before="100" w:beforeAutospacing="1" w:after="100" w:afterAutospacing="1"/>
      <w:ind w:firstLine="0"/>
    </w:pPr>
    <w:rPr>
      <w:rFonts w:ascii="Calibri" w:eastAsia="Times New Roman" w:hAnsi="Calibri"/>
      <w:b/>
      <w:bCs/>
      <w:color w:val="000000"/>
      <w:sz w:val="22"/>
      <w:szCs w:val="22"/>
      <w:lang w:eastAsia="ru-RU"/>
    </w:rPr>
  </w:style>
  <w:style w:type="paragraph" w:customStyle="1" w:styleId="font11">
    <w:name w:val="font11"/>
    <w:basedOn w:val="a0"/>
    <w:pPr>
      <w:spacing w:before="100" w:beforeAutospacing="1" w:after="100" w:afterAutospacing="1"/>
      <w:ind w:firstLine="0"/>
    </w:pPr>
    <w:rPr>
      <w:rFonts w:ascii="Arial CYR" w:eastAsia="Times New Roman" w:hAnsi="Arial CYR" w:cs="Arial CYR"/>
      <w:i/>
      <w:iCs/>
      <w:sz w:val="20"/>
      <w:szCs w:val="20"/>
      <w:lang w:eastAsia="ru-RU"/>
    </w:rPr>
  </w:style>
  <w:style w:type="paragraph" w:customStyle="1" w:styleId="xl66">
    <w:name w:val="xl66"/>
    <w:basedOn w:val="a0"/>
    <w:pPr>
      <w:spacing w:before="100" w:beforeAutospacing="1" w:after="100" w:afterAutospacing="1"/>
      <w:ind w:firstLine="0"/>
    </w:pPr>
    <w:rPr>
      <w:rFonts w:ascii="Arial" w:eastAsia="Times New Roman" w:hAnsi="Arial" w:cs="Arial"/>
      <w:lang w:eastAsia="ru-RU"/>
    </w:rPr>
  </w:style>
  <w:style w:type="paragraph" w:customStyle="1" w:styleId="xl67">
    <w:name w:val="xl67"/>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eastAsia="Times New Roman" w:hAnsi="Arial" w:cs="Arial"/>
      <w:b/>
      <w:bCs/>
      <w:lang w:eastAsia="ru-RU"/>
    </w:rPr>
  </w:style>
  <w:style w:type="paragraph" w:customStyle="1" w:styleId="xl68">
    <w:name w:val="xl68"/>
    <w:basedOn w:val="a0"/>
    <w:pPr>
      <w:spacing w:before="100" w:beforeAutospacing="1" w:after="100" w:afterAutospacing="1"/>
      <w:ind w:firstLine="0"/>
    </w:pPr>
    <w:rPr>
      <w:rFonts w:ascii="Arial" w:eastAsia="Times New Roman" w:hAnsi="Arial" w:cs="Arial"/>
      <w:b/>
      <w:bCs/>
      <w:lang w:eastAsia="ru-RU"/>
    </w:rPr>
  </w:style>
  <w:style w:type="paragraph" w:customStyle="1" w:styleId="xl69">
    <w:name w:val="xl69"/>
    <w:basedOn w:val="a0"/>
    <w:pPr>
      <w:spacing w:before="100" w:beforeAutospacing="1" w:after="100" w:afterAutospacing="1"/>
      <w:ind w:firstLine="0"/>
    </w:pPr>
    <w:rPr>
      <w:rFonts w:ascii="Arial" w:eastAsia="Times New Roman" w:hAnsi="Arial" w:cs="Arial"/>
      <w:lang w:eastAsia="ru-RU"/>
    </w:rPr>
  </w:style>
  <w:style w:type="paragraph" w:customStyle="1" w:styleId="xl70">
    <w:name w:val="xl70"/>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71">
    <w:name w:val="xl71"/>
    <w:basedOn w:val="a0"/>
    <w:pPr>
      <w:pBdr>
        <w:top w:val="single" w:sz="4" w:space="0" w:color="000000"/>
        <w:left w:val="single" w:sz="4" w:space="0"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72">
    <w:name w:val="xl72"/>
    <w:basedOn w:val="a0"/>
    <w:pPr>
      <w:spacing w:before="100" w:beforeAutospacing="1" w:after="100" w:afterAutospacing="1"/>
      <w:ind w:firstLine="0"/>
    </w:pPr>
    <w:rPr>
      <w:rFonts w:ascii="Arial" w:eastAsia="Times New Roman" w:hAnsi="Arial" w:cs="Arial"/>
      <w:color w:val="0070C0"/>
      <w:lang w:eastAsia="ru-RU"/>
    </w:rPr>
  </w:style>
  <w:style w:type="paragraph" w:customStyle="1" w:styleId="xl73">
    <w:name w:val="xl73"/>
    <w:basedOn w:val="a0"/>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74">
    <w:name w:val="xl74"/>
    <w:basedOn w:val="a0"/>
    <w:pPr>
      <w:pBdr>
        <w:top w:val="single" w:sz="8" w:space="0" w:color="000000"/>
        <w:bottom w:val="single" w:sz="8" w:space="0" w:color="000000"/>
        <w:right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75">
    <w:name w:val="xl75"/>
    <w:basedOn w:val="a0"/>
    <w:pPr>
      <w:pBdr>
        <w:top w:val="single" w:sz="8" w:space="0" w:color="000000"/>
        <w:bottom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76">
    <w:name w:val="xl76"/>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eastAsia="Times New Roman" w:hAnsi="Arial" w:cs="Arial"/>
      <w:b/>
      <w:bCs/>
      <w:i/>
      <w:iCs/>
      <w:lang w:eastAsia="ru-RU"/>
    </w:rPr>
  </w:style>
  <w:style w:type="paragraph" w:customStyle="1" w:styleId="xl77">
    <w:name w:val="xl77"/>
    <w:basedOn w:val="a0"/>
    <w:pPr>
      <w:spacing w:before="100" w:beforeAutospacing="1" w:after="100" w:afterAutospacing="1"/>
      <w:ind w:firstLine="0"/>
    </w:pPr>
    <w:rPr>
      <w:rFonts w:ascii="Arial" w:eastAsia="Times New Roman" w:hAnsi="Arial" w:cs="Arial"/>
      <w:b/>
      <w:bCs/>
      <w:i/>
      <w:iCs/>
      <w:lang w:eastAsia="ru-RU"/>
    </w:rPr>
  </w:style>
  <w:style w:type="paragraph" w:customStyle="1" w:styleId="xl78">
    <w:name w:val="xl78"/>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eastAsia="Times New Roman" w:hAnsi="Arial" w:cs="Arial"/>
      <w:i/>
      <w:iCs/>
      <w:lang w:eastAsia="ru-RU"/>
    </w:rPr>
  </w:style>
  <w:style w:type="paragraph" w:customStyle="1" w:styleId="xl79">
    <w:name w:val="xl79"/>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pPr>
    <w:rPr>
      <w:rFonts w:ascii="Arial" w:eastAsia="Times New Roman" w:hAnsi="Arial" w:cs="Arial"/>
      <w:lang w:eastAsia="ru-RU"/>
    </w:rPr>
  </w:style>
  <w:style w:type="paragraph" w:customStyle="1" w:styleId="xl80">
    <w:name w:val="xl80"/>
    <w:basedOn w:val="a0"/>
    <w:pPr>
      <w:pBdr>
        <w:top w:val="single" w:sz="4" w:space="0" w:color="000000"/>
        <w:left w:val="single" w:sz="4" w:space="18" w:color="000000"/>
        <w:bottom w:val="single" w:sz="4" w:space="0"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81">
    <w:name w:val="xl81"/>
    <w:basedOn w:val="a0"/>
    <w:pPr>
      <w:pBdr>
        <w:top w:val="single" w:sz="4" w:space="0" w:color="000000"/>
        <w:left w:val="single" w:sz="4" w:space="18"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82">
    <w:name w:val="xl82"/>
    <w:basedOn w:val="a0"/>
    <w:pPr>
      <w:pBdr>
        <w:top w:val="single" w:sz="4" w:space="0" w:color="000000"/>
        <w:left w:val="single" w:sz="4" w:space="31"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83">
    <w:name w:val="xl83"/>
    <w:basedOn w:val="a0"/>
    <w:pPr>
      <w:pBdr>
        <w:top w:val="single" w:sz="4" w:space="0" w:color="000000"/>
        <w:left w:val="single" w:sz="4" w:space="31" w:color="000000"/>
        <w:bottom w:val="single" w:sz="4" w:space="0"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84">
    <w:name w:val="xl84"/>
    <w:basedOn w:val="a0"/>
    <w:pPr>
      <w:spacing w:before="100" w:beforeAutospacing="1" w:after="100" w:afterAutospacing="1"/>
      <w:ind w:firstLine="0"/>
    </w:pPr>
    <w:rPr>
      <w:rFonts w:ascii="Arial" w:eastAsia="Times New Roman" w:hAnsi="Arial" w:cs="Arial"/>
      <w:b/>
      <w:bCs/>
      <w:lang w:eastAsia="ru-RU"/>
    </w:rPr>
  </w:style>
  <w:style w:type="paragraph" w:customStyle="1" w:styleId="xl85">
    <w:name w:val="xl85"/>
    <w:basedOn w:val="a0"/>
    <w:pPr>
      <w:pBdr>
        <w:top w:val="single" w:sz="4" w:space="0" w:color="000000"/>
        <w:left w:val="single" w:sz="4" w:space="0" w:color="000000"/>
        <w:right w:val="single" w:sz="4"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86">
    <w:name w:val="xl86"/>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eastAsia="Times New Roman" w:hAnsi="Arial" w:cs="Arial"/>
      <w:i/>
      <w:iCs/>
      <w:lang w:eastAsia="ru-RU"/>
    </w:rPr>
  </w:style>
  <w:style w:type="paragraph" w:customStyle="1" w:styleId="xl87">
    <w:name w:val="xl87"/>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eastAsia="Times New Roman" w:hAnsi="Arial" w:cs="Arial"/>
      <w:b/>
      <w:bCs/>
      <w:lang w:eastAsia="ru-RU"/>
    </w:rPr>
  </w:style>
  <w:style w:type="paragraph" w:customStyle="1" w:styleId="xl88">
    <w:name w:val="xl88"/>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eastAsia="Times New Roman" w:hAnsi="Arial" w:cs="Arial"/>
      <w:b/>
      <w:bCs/>
      <w:lang w:eastAsia="ru-RU"/>
    </w:rPr>
  </w:style>
  <w:style w:type="paragraph" w:customStyle="1" w:styleId="xl89">
    <w:name w:val="xl89"/>
    <w:basedOn w:val="a0"/>
    <w:pPr>
      <w:pBdr>
        <w:top w:val="single" w:sz="4" w:space="0" w:color="000000"/>
        <w:left w:val="single" w:sz="4" w:space="0" w:color="000000"/>
        <w:right w:val="single" w:sz="4" w:space="0" w:color="000000"/>
      </w:pBdr>
      <w:spacing w:before="100" w:beforeAutospacing="1" w:after="100" w:afterAutospacing="1"/>
      <w:ind w:firstLine="0"/>
    </w:pPr>
    <w:rPr>
      <w:rFonts w:ascii="Arial" w:eastAsia="Times New Roman" w:hAnsi="Arial" w:cs="Arial"/>
      <w:b/>
      <w:bCs/>
      <w:lang w:eastAsia="ru-RU"/>
    </w:rPr>
  </w:style>
  <w:style w:type="paragraph" w:customStyle="1" w:styleId="xl90">
    <w:name w:val="xl90"/>
    <w:basedOn w:val="a0"/>
    <w:pPr>
      <w:pBdr>
        <w:top w:val="single" w:sz="4" w:space="0" w:color="000000"/>
        <w:left w:val="single" w:sz="4" w:space="0" w:color="000000"/>
      </w:pBdr>
      <w:spacing w:before="100" w:beforeAutospacing="1" w:after="100" w:afterAutospacing="1"/>
      <w:ind w:firstLine="0"/>
    </w:pPr>
    <w:rPr>
      <w:rFonts w:ascii="Arial" w:eastAsia="Times New Roman" w:hAnsi="Arial" w:cs="Arial"/>
      <w:b/>
      <w:bCs/>
      <w:lang w:eastAsia="ru-RU"/>
    </w:rPr>
  </w:style>
  <w:style w:type="paragraph" w:customStyle="1" w:styleId="xl91">
    <w:name w:val="xl91"/>
    <w:basedOn w:val="a0"/>
    <w:pPr>
      <w:pBdr>
        <w:left w:val="single" w:sz="4" w:space="0" w:color="000000"/>
      </w:pBdr>
      <w:spacing w:before="100" w:beforeAutospacing="1" w:after="100" w:afterAutospacing="1"/>
      <w:ind w:firstLine="0"/>
      <w:jc w:val="right"/>
    </w:pPr>
    <w:rPr>
      <w:rFonts w:ascii="Arial" w:eastAsia="Times New Roman" w:hAnsi="Arial" w:cs="Arial"/>
      <w:b/>
      <w:bCs/>
      <w:lang w:eastAsia="ru-RU"/>
    </w:rPr>
  </w:style>
  <w:style w:type="paragraph" w:customStyle="1" w:styleId="xl92">
    <w:name w:val="xl92"/>
    <w:basedOn w:val="a0"/>
    <w:pPr>
      <w:pBdr>
        <w:left w:val="single" w:sz="4" w:space="0" w:color="000000"/>
      </w:pBdr>
      <w:spacing w:before="100" w:beforeAutospacing="1" w:after="100" w:afterAutospacing="1"/>
      <w:ind w:firstLine="0"/>
      <w:jc w:val="right"/>
    </w:pPr>
    <w:rPr>
      <w:rFonts w:ascii="Arial" w:eastAsia="Times New Roman" w:hAnsi="Arial" w:cs="Arial"/>
      <w:i/>
      <w:iCs/>
      <w:lang w:eastAsia="ru-RU"/>
    </w:rPr>
  </w:style>
  <w:style w:type="paragraph" w:customStyle="1" w:styleId="xl93">
    <w:name w:val="xl93"/>
    <w:basedOn w:val="a0"/>
    <w:pPr>
      <w:pBdr>
        <w:lef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94">
    <w:name w:val="xl94"/>
    <w:basedOn w:val="a0"/>
    <w:pPr>
      <w:pBdr>
        <w:top w:val="single" w:sz="4" w:space="0" w:color="000000"/>
        <w:left w:val="single" w:sz="4" w:space="0" w:color="000000"/>
        <w:bottom w:val="single" w:sz="4" w:space="0" w:color="000000"/>
      </w:pBdr>
      <w:spacing w:before="100" w:beforeAutospacing="1" w:after="100" w:afterAutospacing="1"/>
      <w:ind w:firstLine="0"/>
    </w:pPr>
    <w:rPr>
      <w:rFonts w:ascii="Arial" w:eastAsia="Times New Roman" w:hAnsi="Arial" w:cs="Arial"/>
      <w:b/>
      <w:bCs/>
      <w:lang w:eastAsia="ru-RU"/>
    </w:rPr>
  </w:style>
  <w:style w:type="paragraph" w:customStyle="1" w:styleId="xl95">
    <w:name w:val="xl95"/>
    <w:basedOn w:val="a0"/>
    <w:pPr>
      <w:spacing w:before="100" w:beforeAutospacing="1" w:after="100" w:afterAutospacing="1"/>
      <w:ind w:firstLine="0"/>
      <w:jc w:val="center"/>
    </w:pPr>
    <w:rPr>
      <w:rFonts w:ascii="Arial" w:eastAsia="Times New Roman" w:hAnsi="Arial" w:cs="Arial"/>
      <w:i/>
      <w:iCs/>
      <w:lang w:eastAsia="ru-RU"/>
    </w:rPr>
  </w:style>
  <w:style w:type="paragraph" w:customStyle="1" w:styleId="xl96">
    <w:name w:val="xl96"/>
    <w:basedOn w:val="a0"/>
    <w:pPr>
      <w:pBdr>
        <w:top w:val="single" w:sz="8" w:space="0" w:color="000000"/>
        <w:left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97">
    <w:name w:val="xl97"/>
    <w:basedOn w:val="a0"/>
    <w:pPr>
      <w:pBdr>
        <w:top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98">
    <w:name w:val="xl98"/>
    <w:basedOn w:val="a0"/>
    <w:pPr>
      <w:pBdr>
        <w:top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99">
    <w:name w:val="xl99"/>
    <w:basedOn w:val="a0"/>
    <w:pPr>
      <w:spacing w:before="100" w:beforeAutospacing="1" w:after="100" w:afterAutospacing="1"/>
      <w:ind w:firstLine="0"/>
    </w:pPr>
    <w:rPr>
      <w:rFonts w:ascii="Arial" w:eastAsia="Times New Roman" w:hAnsi="Arial" w:cs="Arial"/>
      <w:lang w:eastAsia="ru-RU"/>
    </w:rPr>
  </w:style>
  <w:style w:type="paragraph" w:customStyle="1" w:styleId="xl100">
    <w:name w:val="xl100"/>
    <w:basedOn w:val="a0"/>
    <w:pPr>
      <w:pBdr>
        <w:left w:val="single" w:sz="4" w:space="0" w:color="000000"/>
        <w:bottom w:val="single" w:sz="4" w:space="0"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01">
    <w:name w:val="xl101"/>
    <w:basedOn w:val="a0"/>
    <w:pPr>
      <w:spacing w:before="100" w:beforeAutospacing="1" w:after="100" w:afterAutospacing="1"/>
      <w:ind w:firstLine="0"/>
    </w:pPr>
    <w:rPr>
      <w:rFonts w:ascii="Arial" w:eastAsia="Times New Roman" w:hAnsi="Arial" w:cs="Arial"/>
      <w:i/>
      <w:iCs/>
      <w:lang w:eastAsia="ru-RU"/>
    </w:rPr>
  </w:style>
  <w:style w:type="paragraph" w:customStyle="1" w:styleId="xl102">
    <w:name w:val="xl102"/>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eastAsia="Times New Roman" w:hAnsi="Arial" w:cs="Arial"/>
      <w:b/>
      <w:bCs/>
      <w:lang w:eastAsia="ru-RU"/>
    </w:rPr>
  </w:style>
  <w:style w:type="paragraph" w:customStyle="1" w:styleId="xl103">
    <w:name w:val="xl103"/>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04">
    <w:name w:val="xl104"/>
    <w:basedOn w:val="a0"/>
    <w:pPr>
      <w:pBdr>
        <w:left w:val="single" w:sz="8" w:space="0" w:color="000000"/>
        <w:bottom w:val="single" w:sz="8" w:space="0" w:color="000000"/>
        <w:right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05">
    <w:name w:val="xl105"/>
    <w:basedOn w:val="a0"/>
    <w:pPr>
      <w:pBdr>
        <w:left w:val="single" w:sz="8" w:space="0" w:color="000000"/>
        <w:right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06">
    <w:name w:val="xl106"/>
    <w:basedOn w:val="a0"/>
    <w:pPr>
      <w:pBdr>
        <w:lef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07">
    <w:name w:val="xl107"/>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08">
    <w:name w:val="xl108"/>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09">
    <w:name w:val="xl109"/>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10">
    <w:name w:val="xl110"/>
    <w:basedOn w:val="a0"/>
    <w:pPr>
      <w:spacing w:before="100" w:beforeAutospacing="1" w:after="100" w:afterAutospacing="1"/>
      <w:ind w:firstLine="0"/>
    </w:pPr>
    <w:rPr>
      <w:rFonts w:ascii="Arial" w:eastAsia="Times New Roman" w:hAnsi="Arial" w:cs="Arial"/>
      <w:lang w:eastAsia="ru-RU"/>
    </w:rPr>
  </w:style>
  <w:style w:type="paragraph" w:customStyle="1" w:styleId="xl111">
    <w:name w:val="xl111"/>
    <w:basedOn w:val="a0"/>
    <w:pPr>
      <w:pBdr>
        <w:top w:val="single" w:sz="4" w:space="0" w:color="000000"/>
        <w:lef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12">
    <w:name w:val="xl112"/>
    <w:basedOn w:val="a0"/>
    <w:pPr>
      <w:pBdr>
        <w:top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13">
    <w:name w:val="xl113"/>
    <w:basedOn w:val="a0"/>
    <w:pPr>
      <w:pBdr>
        <w:top w:val="single" w:sz="4" w:space="0"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14">
    <w:name w:val="xl114"/>
    <w:basedOn w:val="a0"/>
    <w:pPr>
      <w:pBdr>
        <w:left w:val="single" w:sz="4" w:space="0" w:color="000000"/>
      </w:pBdr>
      <w:spacing w:before="100" w:beforeAutospacing="1" w:after="100" w:afterAutospacing="1"/>
      <w:ind w:firstLine="0"/>
      <w:jc w:val="right"/>
    </w:pPr>
    <w:rPr>
      <w:rFonts w:ascii="Arial" w:eastAsia="Times New Roman" w:hAnsi="Arial" w:cs="Arial"/>
      <w:b/>
      <w:bCs/>
      <w:lang w:eastAsia="ru-RU"/>
    </w:rPr>
  </w:style>
  <w:style w:type="paragraph" w:customStyle="1" w:styleId="xl115">
    <w:name w:val="xl115"/>
    <w:basedOn w:val="a0"/>
    <w:pPr>
      <w:pBdr>
        <w:lef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16">
    <w:name w:val="xl116"/>
    <w:basedOn w:val="a0"/>
    <w:pPr>
      <w:spacing w:before="100" w:beforeAutospacing="1" w:after="100" w:afterAutospacing="1"/>
      <w:ind w:firstLine="0"/>
    </w:pPr>
    <w:rPr>
      <w:rFonts w:ascii="Arial" w:eastAsia="Times New Roman" w:hAnsi="Arial" w:cs="Arial"/>
      <w:lang w:eastAsia="ru-RU"/>
    </w:rPr>
  </w:style>
  <w:style w:type="paragraph" w:customStyle="1" w:styleId="xl117">
    <w:name w:val="xl117"/>
    <w:basedOn w:val="a0"/>
    <w:pPr>
      <w:pBdr>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18">
    <w:name w:val="xl118"/>
    <w:basedOn w:val="a0"/>
    <w:pPr>
      <w:pBdr>
        <w:lef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19">
    <w:name w:val="xl119"/>
    <w:basedOn w:val="a0"/>
    <w:pPr>
      <w:pBdr>
        <w:top w:val="single" w:sz="4" w:space="0" w:color="000000"/>
        <w:left w:val="single" w:sz="4" w:space="0" w:color="000000"/>
        <w:bottom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20">
    <w:name w:val="xl120"/>
    <w:basedOn w:val="a0"/>
    <w:pPr>
      <w:pBdr>
        <w:top w:val="single" w:sz="4" w:space="0" w:color="000000"/>
        <w:bottom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21">
    <w:name w:val="xl121"/>
    <w:basedOn w:val="a0"/>
    <w:pPr>
      <w:pBdr>
        <w:top w:val="single" w:sz="4" w:space="0" w:color="000000"/>
        <w:bottom w:val="single" w:sz="4" w:space="0"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22">
    <w:name w:val="xl122"/>
    <w:basedOn w:val="a0"/>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eastAsia="Times New Roman" w:hAnsi="Arial" w:cs="Arial"/>
      <w:i/>
      <w:iCs/>
      <w:lang w:eastAsia="ru-RU"/>
    </w:rPr>
  </w:style>
  <w:style w:type="paragraph" w:customStyle="1" w:styleId="xl123">
    <w:name w:val="xl123"/>
    <w:basedOn w:val="a0"/>
    <w:pPr>
      <w:pBdr>
        <w:left w:val="single" w:sz="4" w:space="0" w:color="000000"/>
        <w:bottom w:val="single" w:sz="4" w:space="0" w:color="000000"/>
        <w:right w:val="single" w:sz="4"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24">
    <w:name w:val="xl124"/>
    <w:basedOn w:val="a0"/>
    <w:pPr>
      <w:pBdr>
        <w:top w:val="single" w:sz="4" w:space="0" w:color="000000"/>
        <w:left w:val="single" w:sz="4" w:space="0" w:color="000000"/>
        <w:bottom w:val="single" w:sz="4"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25">
    <w:name w:val="xl125"/>
    <w:basedOn w:val="a0"/>
    <w:pPr>
      <w:pBdr>
        <w:top w:val="single" w:sz="4" w:space="0" w:color="000000"/>
        <w:bottom w:val="single" w:sz="4"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26">
    <w:name w:val="xl126"/>
    <w:basedOn w:val="a0"/>
    <w:pPr>
      <w:pBdr>
        <w:top w:val="single" w:sz="4" w:space="0" w:color="000000"/>
        <w:bottom w:val="single" w:sz="4" w:space="0" w:color="000000"/>
        <w:right w:val="single" w:sz="4"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27">
    <w:name w:val="xl127"/>
    <w:basedOn w:val="a0"/>
    <w:pPr>
      <w:pBdr>
        <w:top w:val="single" w:sz="8" w:space="0" w:color="000000"/>
        <w:left w:val="single" w:sz="8" w:space="0" w:color="000000"/>
        <w:bottom w:val="single" w:sz="4" w:space="0" w:color="000000"/>
        <w:right w:val="single" w:sz="8" w:space="0" w:color="000000"/>
      </w:pBdr>
      <w:spacing w:before="100" w:beforeAutospacing="1" w:after="100" w:afterAutospacing="1"/>
      <w:ind w:firstLine="0"/>
      <w:jc w:val="center"/>
    </w:pPr>
    <w:rPr>
      <w:rFonts w:ascii="Arial" w:eastAsia="Times New Roman" w:hAnsi="Arial" w:cs="Arial"/>
      <w:i/>
      <w:iCs/>
      <w:lang w:eastAsia="ru-RU"/>
    </w:rPr>
  </w:style>
  <w:style w:type="paragraph" w:customStyle="1" w:styleId="xl128">
    <w:name w:val="xl128"/>
    <w:basedOn w:val="a0"/>
    <w:pPr>
      <w:pBdr>
        <w:top w:val="single" w:sz="4" w:space="0" w:color="000000"/>
        <w:left w:val="single" w:sz="8" w:space="0" w:color="000000"/>
        <w:bottom w:val="single" w:sz="4" w:space="0" w:color="000000"/>
        <w:right w:val="single" w:sz="8" w:space="0" w:color="000000"/>
      </w:pBdr>
      <w:spacing w:before="100" w:beforeAutospacing="1" w:after="100" w:afterAutospacing="1"/>
      <w:ind w:firstLine="0"/>
      <w:jc w:val="center"/>
    </w:pPr>
    <w:rPr>
      <w:rFonts w:ascii="Arial" w:eastAsia="Times New Roman" w:hAnsi="Arial" w:cs="Arial"/>
      <w:i/>
      <w:iCs/>
      <w:lang w:eastAsia="ru-RU"/>
    </w:rPr>
  </w:style>
  <w:style w:type="paragraph" w:customStyle="1" w:styleId="xl129">
    <w:name w:val="xl129"/>
    <w:basedOn w:val="a0"/>
    <w:pPr>
      <w:pBdr>
        <w:top w:val="single" w:sz="4" w:space="0" w:color="000000"/>
        <w:left w:val="single" w:sz="8" w:space="0" w:color="000000"/>
        <w:bottom w:val="single" w:sz="8" w:space="0" w:color="000000"/>
        <w:right w:val="single" w:sz="8" w:space="0" w:color="000000"/>
      </w:pBdr>
      <w:spacing w:before="100" w:beforeAutospacing="1" w:after="100" w:afterAutospacing="1"/>
      <w:ind w:firstLine="0"/>
      <w:jc w:val="center"/>
    </w:pPr>
    <w:rPr>
      <w:rFonts w:ascii="Arial" w:eastAsia="Times New Roman" w:hAnsi="Arial" w:cs="Arial"/>
      <w:i/>
      <w:iCs/>
      <w:lang w:eastAsia="ru-RU"/>
    </w:rPr>
  </w:style>
  <w:style w:type="paragraph" w:customStyle="1" w:styleId="xl130">
    <w:name w:val="xl130"/>
    <w:basedOn w:val="a0"/>
    <w:pPr>
      <w:pBdr>
        <w:top w:val="single" w:sz="8" w:space="0" w:color="000000"/>
        <w:left w:val="single" w:sz="8" w:space="0" w:color="000000"/>
        <w:right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31">
    <w:name w:val="xl131"/>
    <w:basedOn w:val="a0"/>
    <w:pPr>
      <w:spacing w:before="100" w:beforeAutospacing="1" w:after="100" w:afterAutospacing="1"/>
      <w:ind w:firstLine="0"/>
    </w:pPr>
    <w:rPr>
      <w:rFonts w:ascii="Arial" w:eastAsia="Times New Roman" w:hAnsi="Arial" w:cs="Arial"/>
      <w:b/>
      <w:bCs/>
      <w:lang w:eastAsia="ru-RU"/>
    </w:rPr>
  </w:style>
  <w:style w:type="paragraph" w:customStyle="1" w:styleId="xl132">
    <w:name w:val="xl132"/>
    <w:basedOn w:val="a0"/>
    <w:pPr>
      <w:pBdr>
        <w:bottom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33">
    <w:name w:val="xl133"/>
    <w:basedOn w:val="a0"/>
    <w:pPr>
      <w:pBdr>
        <w:top w:val="single" w:sz="8" w:space="0" w:color="000000"/>
        <w:left w:val="single" w:sz="8" w:space="0" w:color="000000"/>
        <w:bottom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34">
    <w:name w:val="xl134"/>
    <w:basedOn w:val="a0"/>
    <w:pPr>
      <w:pBdr>
        <w:top w:val="single" w:sz="8" w:space="0" w:color="000000"/>
        <w:bottom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35">
    <w:name w:val="xl135"/>
    <w:basedOn w:val="a0"/>
    <w:pPr>
      <w:pBdr>
        <w:top w:val="single" w:sz="8" w:space="0" w:color="000000"/>
        <w:bottom w:val="single" w:sz="8" w:space="0" w:color="000000"/>
        <w:right w:val="single" w:sz="8" w:space="0" w:color="000000"/>
      </w:pBdr>
      <w:spacing w:before="100" w:beforeAutospacing="1" w:after="100" w:afterAutospacing="1"/>
      <w:ind w:firstLine="0"/>
      <w:jc w:val="center"/>
    </w:pPr>
    <w:rPr>
      <w:rFonts w:ascii="Arial" w:eastAsia="Times New Roman" w:hAnsi="Arial" w:cs="Arial"/>
      <w:lang w:eastAsia="ru-RU"/>
    </w:rPr>
  </w:style>
  <w:style w:type="paragraph" w:customStyle="1" w:styleId="xl136">
    <w:name w:val="xl136"/>
    <w:basedOn w:val="a0"/>
    <w:pPr>
      <w:pBdr>
        <w:top w:val="single" w:sz="4" w:space="0" w:color="000000"/>
        <w:left w:val="single" w:sz="4" w:space="0" w:color="000000"/>
        <w:bottom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37">
    <w:name w:val="xl137"/>
    <w:basedOn w:val="a0"/>
    <w:pPr>
      <w:pBdr>
        <w:top w:val="single" w:sz="4" w:space="0" w:color="000000"/>
        <w:bottom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38">
    <w:name w:val="xl138"/>
    <w:basedOn w:val="a0"/>
    <w:pPr>
      <w:pBdr>
        <w:top w:val="single" w:sz="4" w:space="0" w:color="000000"/>
        <w:bottom w:val="single" w:sz="4" w:space="0" w:color="000000"/>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39">
    <w:name w:val="xl139"/>
    <w:basedOn w:val="a0"/>
    <w:pPr>
      <w:spacing w:before="100" w:beforeAutospacing="1" w:after="100" w:afterAutospacing="1"/>
      <w:ind w:firstLine="0"/>
    </w:pPr>
    <w:rPr>
      <w:rFonts w:ascii="Arial" w:eastAsia="Times New Roman" w:hAnsi="Arial" w:cs="Arial"/>
      <w:lang w:eastAsia="ru-RU"/>
    </w:rPr>
  </w:style>
  <w:style w:type="paragraph" w:customStyle="1" w:styleId="xl140">
    <w:name w:val="xl140"/>
    <w:basedOn w:val="a0"/>
    <w:pPr>
      <w:pBdr>
        <w:right w:val="single" w:sz="4" w:space="0" w:color="000000"/>
      </w:pBdr>
      <w:spacing w:before="100" w:beforeAutospacing="1" w:after="100" w:afterAutospacing="1"/>
      <w:ind w:firstLine="0"/>
    </w:pPr>
    <w:rPr>
      <w:rFonts w:ascii="Arial" w:eastAsia="Times New Roman" w:hAnsi="Arial" w:cs="Arial"/>
      <w:lang w:eastAsia="ru-RU"/>
    </w:rPr>
  </w:style>
  <w:style w:type="paragraph" w:customStyle="1" w:styleId="xl141">
    <w:name w:val="xl141"/>
    <w:basedOn w:val="a0"/>
    <w:pPr>
      <w:pBdr>
        <w:top w:val="single" w:sz="4" w:space="0" w:color="000000"/>
        <w:bottom w:val="single" w:sz="4" w:space="0" w:color="000000"/>
      </w:pBdr>
      <w:spacing w:before="100" w:beforeAutospacing="1" w:after="100" w:afterAutospacing="1"/>
      <w:ind w:firstLine="0"/>
    </w:pPr>
    <w:rPr>
      <w:rFonts w:ascii="Times New Roman" w:eastAsia="Times New Roman" w:hAnsi="Times New Roman"/>
      <w:lang w:eastAsia="ru-RU"/>
    </w:rPr>
  </w:style>
  <w:style w:type="paragraph" w:customStyle="1" w:styleId="xl142">
    <w:name w:val="xl142"/>
    <w:basedOn w:val="a0"/>
    <w:pPr>
      <w:pBdr>
        <w:top w:val="single" w:sz="4" w:space="0" w:color="000000"/>
        <w:bottom w:val="single" w:sz="4" w:space="0" w:color="000000"/>
        <w:right w:val="single" w:sz="4" w:space="0" w:color="000000"/>
      </w:pBdr>
      <w:spacing w:before="100" w:beforeAutospacing="1" w:after="100" w:afterAutospacing="1"/>
      <w:ind w:firstLine="0"/>
    </w:pPr>
    <w:rPr>
      <w:rFonts w:ascii="Times New Roman" w:eastAsia="Times New Roman" w:hAnsi="Times New Roman"/>
      <w:lang w:eastAsia="ru-RU"/>
    </w:rPr>
  </w:style>
  <w:style w:type="paragraph" w:customStyle="1" w:styleId="xl65">
    <w:name w:val="xl65"/>
    <w:basedOn w:val="a0"/>
    <w:pPr>
      <w:spacing w:before="100" w:beforeAutospacing="1" w:after="100" w:afterAutospacing="1"/>
      <w:ind w:firstLine="0"/>
    </w:pPr>
    <w:rPr>
      <w:rFonts w:ascii="Times New Roman" w:eastAsia="Times New Roman" w:hAnsi="Times New Roman"/>
      <w:lang w:eastAsia="ru-RU"/>
    </w:rPr>
  </w:style>
  <w:style w:type="paragraph" w:customStyle="1" w:styleId="xl143">
    <w:name w:val="xl143"/>
    <w:basedOn w:val="a0"/>
    <w:pPr>
      <w:pBdr>
        <w:top w:val="single" w:sz="8" w:space="0" w:color="000000"/>
        <w:bottom w:val="single" w:sz="8" w:space="0" w:color="000000"/>
      </w:pBdr>
      <w:shd w:val="clear" w:color="000000" w:fill="C0C0C0"/>
      <w:spacing w:before="100" w:beforeAutospacing="1" w:after="100" w:afterAutospacing="1"/>
      <w:ind w:firstLine="0"/>
      <w:jc w:val="center"/>
    </w:pPr>
    <w:rPr>
      <w:rFonts w:ascii="Times New Roman" w:eastAsia="Times New Roman" w:hAnsi="Times New Roman"/>
      <w:lang w:eastAsia="ru-RU"/>
    </w:rPr>
  </w:style>
  <w:style w:type="paragraph" w:customStyle="1" w:styleId="xl144">
    <w:name w:val="xl144"/>
    <w:basedOn w:val="a0"/>
    <w:pPr>
      <w:spacing w:before="100" w:beforeAutospacing="1" w:after="100" w:afterAutospacing="1"/>
      <w:ind w:firstLine="0"/>
      <w:jc w:val="center"/>
    </w:pPr>
    <w:rPr>
      <w:rFonts w:ascii="Times New Roman" w:eastAsia="Times New Roman" w:hAnsi="Times New Roman"/>
      <w:lang w:eastAsia="ru-RU"/>
    </w:rPr>
  </w:style>
  <w:style w:type="paragraph" w:customStyle="1" w:styleId="xl145">
    <w:name w:val="xl145"/>
    <w:basedOn w:val="a0"/>
    <w:pPr>
      <w:pBdr>
        <w:top w:val="single" w:sz="8" w:space="0" w:color="000000"/>
        <w:left w:val="single" w:sz="8" w:space="0" w:color="000000"/>
      </w:pBdr>
      <w:shd w:val="clear" w:color="000000" w:fill="C0C0C0"/>
      <w:spacing w:before="100" w:beforeAutospacing="1" w:after="100" w:afterAutospacing="1"/>
      <w:ind w:firstLine="0"/>
      <w:jc w:val="center"/>
    </w:pPr>
    <w:rPr>
      <w:rFonts w:ascii="Times New Roman" w:eastAsia="Times New Roman" w:hAnsi="Times New Roman"/>
      <w:lang w:eastAsia="ru-RU"/>
    </w:rPr>
  </w:style>
  <w:style w:type="paragraph" w:customStyle="1" w:styleId="xl146">
    <w:name w:val="xl146"/>
    <w:basedOn w:val="a0"/>
    <w:pPr>
      <w:pBdr>
        <w:top w:val="single" w:sz="8" w:space="0" w:color="000000"/>
      </w:pBdr>
      <w:shd w:val="clear" w:color="000000" w:fill="C0C0C0"/>
      <w:spacing w:before="100" w:beforeAutospacing="1" w:after="100" w:afterAutospacing="1"/>
      <w:ind w:firstLine="0"/>
      <w:jc w:val="center"/>
    </w:pPr>
    <w:rPr>
      <w:rFonts w:ascii="Times New Roman" w:eastAsia="Times New Roman" w:hAnsi="Times New Roman"/>
      <w:lang w:eastAsia="ru-RU"/>
    </w:rPr>
  </w:style>
  <w:style w:type="paragraph" w:customStyle="1" w:styleId="xl147">
    <w:name w:val="xl147"/>
    <w:basedOn w:val="a0"/>
    <w:pPr>
      <w:pBdr>
        <w:top w:val="single" w:sz="8" w:space="0" w:color="000000"/>
        <w:right w:val="single" w:sz="8" w:space="0" w:color="000000"/>
      </w:pBdr>
      <w:shd w:val="clear" w:color="000000" w:fill="C0C0C0"/>
      <w:spacing w:before="100" w:beforeAutospacing="1" w:after="100" w:afterAutospacing="1"/>
      <w:ind w:firstLine="0"/>
      <w:jc w:val="center"/>
    </w:pPr>
    <w:rPr>
      <w:rFonts w:ascii="Times New Roman" w:eastAsia="Times New Roman" w:hAnsi="Times New Roman"/>
      <w:lang w:eastAsia="ru-RU"/>
    </w:rPr>
  </w:style>
  <w:style w:type="paragraph" w:customStyle="1" w:styleId="xl148">
    <w:name w:val="xl148"/>
    <w:basedOn w:val="a0"/>
    <w:pPr>
      <w:pBdr>
        <w:left w:val="single" w:sz="8" w:space="0" w:color="000000"/>
        <w:bottom w:val="single" w:sz="8" w:space="0" w:color="000000"/>
      </w:pBdr>
      <w:shd w:val="clear" w:color="000000" w:fill="C0C0C0"/>
      <w:spacing w:before="100" w:beforeAutospacing="1" w:after="100" w:afterAutospacing="1"/>
      <w:ind w:firstLine="0"/>
      <w:jc w:val="center"/>
    </w:pPr>
    <w:rPr>
      <w:rFonts w:ascii="Times New Roman" w:eastAsia="Times New Roman" w:hAnsi="Times New Roman"/>
      <w:lang w:eastAsia="ru-RU"/>
    </w:rPr>
  </w:style>
  <w:style w:type="paragraph" w:customStyle="1" w:styleId="xl149">
    <w:name w:val="xl149"/>
    <w:basedOn w:val="a0"/>
    <w:pPr>
      <w:pBdr>
        <w:bottom w:val="single" w:sz="8" w:space="0" w:color="000000"/>
      </w:pBdr>
      <w:shd w:val="clear" w:color="000000" w:fill="C0C0C0"/>
      <w:spacing w:before="100" w:beforeAutospacing="1" w:after="100" w:afterAutospacing="1"/>
      <w:ind w:firstLine="0"/>
      <w:jc w:val="center"/>
    </w:pPr>
    <w:rPr>
      <w:rFonts w:ascii="Times New Roman" w:eastAsia="Times New Roman" w:hAnsi="Times New Roman"/>
      <w:lang w:eastAsia="ru-RU"/>
    </w:rPr>
  </w:style>
  <w:style w:type="paragraph" w:customStyle="1" w:styleId="xl150">
    <w:name w:val="xl150"/>
    <w:basedOn w:val="a0"/>
    <w:pPr>
      <w:pBdr>
        <w:bottom w:val="single" w:sz="8" w:space="0" w:color="000000"/>
        <w:right w:val="single" w:sz="8" w:space="0" w:color="000000"/>
      </w:pBdr>
      <w:shd w:val="clear" w:color="000000" w:fill="C0C0C0"/>
      <w:spacing w:before="100" w:beforeAutospacing="1" w:after="100" w:afterAutospacing="1"/>
      <w:ind w:firstLine="0"/>
      <w:jc w:val="center"/>
    </w:pPr>
    <w:rPr>
      <w:rFonts w:ascii="Times New Roman" w:eastAsia="Times New Roman" w:hAnsi="Times New Roman"/>
      <w:lang w:eastAsia="ru-RU"/>
    </w:rPr>
  </w:style>
  <w:style w:type="paragraph" w:customStyle="1" w:styleId="xl151">
    <w:name w:val="xl151"/>
    <w:basedOn w:val="a0"/>
    <w:pPr>
      <w:pBdr>
        <w:top w:val="single" w:sz="4" w:space="0" w:color="000000"/>
        <w:left w:val="single" w:sz="4" w:space="0" w:color="000000"/>
      </w:pBdr>
      <w:spacing w:before="100" w:beforeAutospacing="1" w:after="100" w:afterAutospacing="1"/>
      <w:ind w:firstLine="0"/>
      <w:jc w:val="center"/>
    </w:pPr>
    <w:rPr>
      <w:rFonts w:ascii="Times New Roman" w:eastAsia="Times New Roman" w:hAnsi="Times New Roman"/>
      <w:lang w:eastAsia="ru-RU"/>
    </w:rPr>
  </w:style>
  <w:style w:type="paragraph" w:customStyle="1" w:styleId="xl152">
    <w:name w:val="xl152"/>
    <w:basedOn w:val="a0"/>
    <w:pPr>
      <w:pBdr>
        <w:top w:val="single" w:sz="4" w:space="0" w:color="000000"/>
      </w:pBdr>
      <w:spacing w:before="100" w:beforeAutospacing="1" w:after="100" w:afterAutospacing="1"/>
      <w:ind w:firstLine="0"/>
      <w:jc w:val="center"/>
    </w:pPr>
    <w:rPr>
      <w:rFonts w:ascii="Times New Roman" w:eastAsia="Times New Roman" w:hAnsi="Times New Roman"/>
      <w:lang w:eastAsia="ru-RU"/>
    </w:rPr>
  </w:style>
  <w:style w:type="paragraph" w:customStyle="1" w:styleId="xl153">
    <w:name w:val="xl153"/>
    <w:basedOn w:val="a0"/>
    <w:pPr>
      <w:pBdr>
        <w:left w:val="single" w:sz="4" w:space="0" w:color="000000"/>
        <w:bottom w:val="single" w:sz="4" w:space="0" w:color="000000"/>
      </w:pBdr>
      <w:spacing w:before="100" w:beforeAutospacing="1" w:after="100" w:afterAutospacing="1"/>
      <w:ind w:firstLine="0"/>
      <w:jc w:val="center"/>
    </w:pPr>
    <w:rPr>
      <w:rFonts w:ascii="Times New Roman" w:eastAsia="Times New Roman" w:hAnsi="Times New Roman"/>
      <w:lang w:eastAsia="ru-RU"/>
    </w:rPr>
  </w:style>
  <w:style w:type="paragraph" w:customStyle="1" w:styleId="xl154">
    <w:name w:val="xl154"/>
    <w:basedOn w:val="a0"/>
    <w:pPr>
      <w:pBdr>
        <w:bottom w:val="single" w:sz="4" w:space="0" w:color="000000"/>
      </w:pBdr>
      <w:spacing w:before="100" w:beforeAutospacing="1" w:after="100" w:afterAutospacing="1"/>
      <w:ind w:firstLine="0"/>
      <w:jc w:val="center"/>
    </w:pPr>
    <w:rPr>
      <w:rFonts w:ascii="Times New Roman" w:eastAsia="Times New Roman" w:hAnsi="Times New Roman"/>
      <w:lang w:eastAsia="ru-RU"/>
    </w:rPr>
  </w:style>
  <w:style w:type="paragraph" w:customStyle="1" w:styleId="xl155">
    <w:name w:val="xl155"/>
    <w:basedOn w:val="a0"/>
    <w:pPr>
      <w:pBdr>
        <w:top w:val="single" w:sz="8" w:space="0" w:color="000000"/>
        <w:left w:val="single" w:sz="8" w:space="0" w:color="000000"/>
        <w:bottom w:val="single" w:sz="8" w:space="0" w:color="000000"/>
      </w:pBdr>
      <w:shd w:val="clear" w:color="000000" w:fill="C0C0C0"/>
      <w:spacing w:before="100" w:beforeAutospacing="1" w:after="100" w:afterAutospacing="1"/>
      <w:ind w:firstLine="0"/>
      <w:jc w:val="center"/>
    </w:pPr>
    <w:rPr>
      <w:rFonts w:ascii="Times New Roman" w:eastAsia="Times New Roman" w:hAnsi="Times New Roman"/>
      <w:lang w:eastAsia="ru-RU"/>
    </w:rPr>
  </w:style>
  <w:style w:type="paragraph" w:customStyle="1" w:styleId="xl156">
    <w:name w:val="xl156"/>
    <w:basedOn w:val="a0"/>
    <w:pPr>
      <w:pBdr>
        <w:top w:val="single" w:sz="8" w:space="0" w:color="000000"/>
        <w:bottom w:val="single" w:sz="8" w:space="0" w:color="000000"/>
      </w:pBdr>
      <w:shd w:val="clear" w:color="000000" w:fill="C0C0C0"/>
      <w:spacing w:before="100" w:beforeAutospacing="1" w:after="100" w:afterAutospacing="1"/>
      <w:ind w:firstLine="0"/>
      <w:jc w:val="center"/>
    </w:pPr>
    <w:rPr>
      <w:rFonts w:ascii="Times New Roman" w:eastAsia="Times New Roman" w:hAnsi="Times New Roman"/>
      <w:lang w:eastAsia="ru-RU"/>
    </w:rPr>
  </w:style>
  <w:style w:type="paragraph" w:customStyle="1" w:styleId="xl157">
    <w:name w:val="xl157"/>
    <w:basedOn w:val="a0"/>
    <w:pPr>
      <w:pBdr>
        <w:top w:val="single" w:sz="8" w:space="0" w:color="000000"/>
        <w:bottom w:val="single" w:sz="8" w:space="0" w:color="000000"/>
        <w:right w:val="single" w:sz="8" w:space="0" w:color="000000"/>
      </w:pBdr>
      <w:shd w:val="clear" w:color="000000" w:fill="C0C0C0"/>
      <w:spacing w:before="100" w:beforeAutospacing="1" w:after="100" w:afterAutospacing="1"/>
      <w:ind w:firstLine="0"/>
      <w:jc w:val="center"/>
    </w:pPr>
    <w:rPr>
      <w:rFonts w:ascii="Times New Roman" w:eastAsia="Times New Roman" w:hAnsi="Times New Roman"/>
      <w:lang w:eastAsia="ru-RU"/>
    </w:rPr>
  </w:style>
  <w:style w:type="paragraph" w:customStyle="1" w:styleId="xl158">
    <w:name w:val="xl158"/>
    <w:basedOn w:val="a0"/>
    <w:pPr>
      <w:pBdr>
        <w:top w:val="single" w:sz="8" w:space="0" w:color="000000"/>
        <w:left w:val="single" w:sz="4" w:space="0" w:color="000000"/>
        <w:bottom w:val="single" w:sz="4" w:space="0" w:color="000000"/>
      </w:pBdr>
      <w:spacing w:before="100" w:beforeAutospacing="1" w:after="100" w:afterAutospacing="1"/>
      <w:ind w:firstLine="0"/>
      <w:jc w:val="center"/>
    </w:pPr>
    <w:rPr>
      <w:rFonts w:ascii="Times New Roman" w:eastAsia="Times New Roman" w:hAnsi="Times New Roman"/>
      <w:lang w:eastAsia="ru-RU"/>
    </w:rPr>
  </w:style>
  <w:style w:type="paragraph" w:customStyle="1" w:styleId="xl159">
    <w:name w:val="xl159"/>
    <w:basedOn w:val="a0"/>
    <w:pPr>
      <w:pBdr>
        <w:top w:val="single" w:sz="8" w:space="0" w:color="000000"/>
        <w:bottom w:val="single" w:sz="4" w:space="0" w:color="000000"/>
      </w:pBdr>
      <w:spacing w:before="100" w:beforeAutospacing="1" w:after="100" w:afterAutospacing="1"/>
      <w:ind w:firstLine="0"/>
      <w:jc w:val="center"/>
    </w:pPr>
    <w:rPr>
      <w:rFonts w:ascii="Times New Roman" w:eastAsia="Times New Roman" w:hAnsi="Times New Roman"/>
      <w:lang w:eastAsia="ru-RU"/>
    </w:rPr>
  </w:style>
  <w:style w:type="paragraph" w:customStyle="1" w:styleId="xl160">
    <w:name w:val="xl160"/>
    <w:basedOn w:val="a0"/>
    <w:pPr>
      <w:pBdr>
        <w:top w:val="single" w:sz="8" w:space="0" w:color="000000"/>
        <w:bottom w:val="single" w:sz="4" w:space="0" w:color="000000"/>
        <w:right w:val="single" w:sz="4" w:space="0" w:color="000000"/>
      </w:pBdr>
      <w:spacing w:before="100" w:beforeAutospacing="1" w:after="100" w:afterAutospacing="1"/>
      <w:ind w:firstLine="0"/>
      <w:jc w:val="center"/>
    </w:pPr>
    <w:rPr>
      <w:rFonts w:ascii="Times New Roman" w:eastAsia="Times New Roman" w:hAnsi="Times New Roman"/>
      <w:lang w:eastAsia="ru-RU"/>
    </w:rPr>
  </w:style>
  <w:style w:type="paragraph" w:customStyle="1" w:styleId="xl161">
    <w:name w:val="xl161"/>
    <w:basedOn w:val="a0"/>
    <w:pPr>
      <w:pBdr>
        <w:top w:val="single" w:sz="4" w:space="0" w:color="000000"/>
        <w:bottom w:val="single" w:sz="4" w:space="0" w:color="000000"/>
      </w:pBdr>
      <w:spacing w:before="100" w:beforeAutospacing="1" w:after="100" w:afterAutospacing="1"/>
      <w:ind w:firstLine="0"/>
    </w:pPr>
    <w:rPr>
      <w:rFonts w:ascii="Times New Roman" w:eastAsia="Times New Roman" w:hAnsi="Times New Roman"/>
      <w:lang w:eastAsia="ru-RU"/>
    </w:rPr>
  </w:style>
  <w:style w:type="paragraph" w:customStyle="1" w:styleId="xl162">
    <w:name w:val="xl162"/>
    <w:basedOn w:val="a0"/>
    <w:pPr>
      <w:pBdr>
        <w:top w:val="single" w:sz="4" w:space="0" w:color="000000"/>
        <w:bottom w:val="single" w:sz="4" w:space="0" w:color="000000"/>
      </w:pBdr>
      <w:spacing w:before="100" w:beforeAutospacing="1" w:after="100" w:afterAutospacing="1"/>
      <w:ind w:firstLine="0"/>
    </w:pPr>
    <w:rPr>
      <w:rFonts w:ascii="Times New Roman" w:eastAsia="Times New Roman" w:hAnsi="Times New Roman"/>
      <w:lang w:eastAsia="ru-RU"/>
    </w:rPr>
  </w:style>
  <w:style w:type="character" w:styleId="affc">
    <w:name w:val="line number"/>
    <w:basedOn w:val="a1"/>
    <w:uiPriority w:val="99"/>
    <w:semiHidden/>
    <w:unhideWhenUsed/>
  </w:style>
  <w:style w:type="character" w:customStyle="1" w:styleId="affd">
    <w:name w:val="Перечень Знак"/>
    <w:basedOn w:val="a1"/>
    <w:link w:val="affe"/>
    <w:uiPriority w:val="99"/>
  </w:style>
  <w:style w:type="paragraph" w:customStyle="1" w:styleId="affe">
    <w:name w:val="Перечень"/>
    <w:basedOn w:val="a0"/>
    <w:link w:val="affd"/>
    <w:uiPriority w:val="99"/>
    <w:qFormat/>
    <w:pPr>
      <w:ind w:firstLine="0"/>
    </w:pPr>
    <w:rPr>
      <w:sz w:val="22"/>
      <w:szCs w:val="22"/>
    </w:rPr>
  </w:style>
  <w:style w:type="paragraph" w:customStyle="1" w:styleId="afff">
    <w:name w:val="Абзац"/>
    <w:basedOn w:val="a0"/>
    <w:link w:val="afff0"/>
    <w:qFormat/>
    <w:rPr>
      <w:rFonts w:ascii="Times New Roman" w:eastAsia="Times New Roman" w:hAnsi="Times New Roman"/>
      <w:sz w:val="28"/>
      <w:szCs w:val="20"/>
    </w:rPr>
  </w:style>
  <w:style w:type="character" w:customStyle="1" w:styleId="afff0">
    <w:name w:val="Абзац Знак"/>
    <w:link w:val="afff"/>
    <w:rPr>
      <w:rFonts w:ascii="Times New Roman" w:eastAsia="Times New Roman" w:hAnsi="Times New Roman"/>
      <w:sz w:val="28"/>
      <w:szCs w:val="20"/>
    </w:rPr>
  </w:style>
  <w:style w:type="paragraph" w:customStyle="1" w:styleId="0">
    <w:name w:val="Заголовок 0"/>
    <w:basedOn w:val="a0"/>
    <w:uiPriority w:val="99"/>
    <w:pPr>
      <w:ind w:firstLine="0"/>
      <w:jc w:val="right"/>
      <w:outlineLvl w:val="0"/>
    </w:pPr>
    <w:rPr>
      <w:rFonts w:ascii="Times New Roman" w:eastAsia="Times New Roman" w:hAnsi="Times New Roman"/>
      <w:sz w:val="28"/>
      <w:szCs w:val="32"/>
      <w:lang w:eastAsia="ru-RU"/>
    </w:rPr>
  </w:style>
  <w:style w:type="paragraph" w:styleId="afff1">
    <w:name w:val="Revision"/>
    <w:hidden/>
    <w:uiPriority w:val="99"/>
    <w:semiHidden/>
    <w:rPr>
      <w:sz w:val="24"/>
      <w:szCs w:val="24"/>
    </w:rPr>
  </w:style>
  <w:style w:type="character" w:customStyle="1" w:styleId="w">
    <w:name w:val="w"/>
    <w:basedOn w:val="a1"/>
  </w:style>
  <w:style w:type="character" w:customStyle="1" w:styleId="apple-converted-space">
    <w:name w:val="apple-converted-space"/>
    <w:basedOn w:val="a1"/>
  </w:style>
  <w:style w:type="paragraph" w:customStyle="1" w:styleId="ConsPlusTitle">
    <w:name w:val="ConsPlusTitle"/>
    <w:pPr>
      <w:widowControl w:val="0"/>
    </w:pPr>
    <w:rPr>
      <w:rFonts w:ascii="Calibri" w:eastAsia="Times New Roman" w:hAnsi="Calibri" w:cs="Calibri"/>
      <w:b/>
      <w:szCs w:val="20"/>
      <w:lang w:eastAsia="ru-RU"/>
    </w:rPr>
  </w:style>
  <w:style w:type="paragraph" w:customStyle="1" w:styleId="14">
    <w:name w:val="Абзац списка1"/>
    <w:basedOn w:val="a0"/>
    <w:uiPriority w:val="99"/>
    <w:qFormat/>
    <w:pPr>
      <w:ind w:left="720" w:firstLine="0"/>
    </w:pPr>
    <w:rPr>
      <w:rFonts w:ascii="Times New Roman" w:eastAsia="Times New Roman" w:hAnsi="Times New Roman" w:cs="Calibri"/>
      <w:sz w:val="28"/>
      <w:szCs w:val="22"/>
    </w:rPr>
  </w:style>
  <w:style w:type="paragraph" w:customStyle="1" w:styleId="15">
    <w:name w:val="Перечень_1"/>
    <w:basedOn w:val="a0"/>
    <w:link w:val="16"/>
    <w:qFormat/>
    <w:pPr>
      <w:tabs>
        <w:tab w:val="left" w:pos="993"/>
      </w:tabs>
    </w:pPr>
    <w:rPr>
      <w:rFonts w:ascii="Times New Roman" w:eastAsia="Times New Roman" w:hAnsi="Times New Roman"/>
      <w:sz w:val="28"/>
      <w:lang w:eastAsia="ru-RU"/>
    </w:rPr>
  </w:style>
  <w:style w:type="paragraph" w:styleId="afff2">
    <w:name w:val="Normal Indent"/>
    <w:basedOn w:val="a0"/>
    <w:uiPriority w:val="99"/>
    <w:pPr>
      <w:ind w:left="708" w:firstLine="0"/>
    </w:pPr>
    <w:rPr>
      <w:rFonts w:ascii="Times New Roman" w:eastAsia="Times New Roman" w:hAnsi="Times New Roman" w:cs="Calibri"/>
      <w:sz w:val="28"/>
      <w:szCs w:val="22"/>
    </w:rPr>
  </w:style>
  <w:style w:type="character" w:customStyle="1" w:styleId="16">
    <w:name w:val="Перечень_1 Знак"/>
    <w:link w:val="15"/>
    <w:rPr>
      <w:rFonts w:ascii="Times New Roman" w:eastAsia="Times New Roman" w:hAnsi="Times New Roman"/>
      <w:sz w:val="28"/>
      <w:szCs w:val="24"/>
      <w:lang w:eastAsia="ru-RU"/>
    </w:rPr>
  </w:style>
  <w:style w:type="paragraph" w:customStyle="1" w:styleId="25">
    <w:name w:val="2_Перечень"/>
    <w:basedOn w:val="a0"/>
    <w:link w:val="26"/>
    <w:qFormat/>
    <w:pPr>
      <w:widowControl w:val="0"/>
      <w:tabs>
        <w:tab w:val="num" w:pos="780"/>
      </w:tabs>
      <w:ind w:left="1134" w:hanging="142"/>
    </w:pPr>
    <w:rPr>
      <w:rFonts w:ascii="Times New Roman" w:eastAsia="Calibri" w:hAnsi="Times New Roman"/>
      <w:color w:val="000000"/>
      <w:sz w:val="28"/>
      <w:szCs w:val="28"/>
      <w:lang w:eastAsia="ru-RU"/>
    </w:rPr>
  </w:style>
  <w:style w:type="character" w:customStyle="1" w:styleId="26">
    <w:name w:val="2_Перечень Знак"/>
    <w:basedOn w:val="a1"/>
    <w:link w:val="25"/>
    <w:rPr>
      <w:rFonts w:ascii="Times New Roman" w:eastAsia="Calibri" w:hAnsi="Times New Roman"/>
      <w:color w:val="000000"/>
      <w:sz w:val="28"/>
      <w:szCs w:val="28"/>
      <w:lang w:eastAsia="ru-RU"/>
    </w:rPr>
  </w:style>
  <w:style w:type="paragraph" w:customStyle="1" w:styleId="afff3">
    <w:name w:val="Выделение_"/>
    <w:basedOn w:val="a0"/>
    <w:link w:val="afff4"/>
    <w:qFormat/>
    <w:pPr>
      <w:keepNext/>
      <w:tabs>
        <w:tab w:val="num" w:pos="780"/>
      </w:tabs>
      <w:spacing w:before="120"/>
    </w:pPr>
    <w:rPr>
      <w:rFonts w:ascii="Times New Roman" w:eastAsia="Calibri" w:hAnsi="Times New Roman" w:cs="Calibri"/>
      <w:b/>
      <w:sz w:val="28"/>
      <w:szCs w:val="22"/>
    </w:rPr>
  </w:style>
  <w:style w:type="character" w:customStyle="1" w:styleId="afff4">
    <w:name w:val="Выделение_ Знак"/>
    <w:basedOn w:val="a1"/>
    <w:link w:val="afff3"/>
    <w:rPr>
      <w:rFonts w:ascii="Times New Roman" w:eastAsia="Calibri" w:hAnsi="Times New Roman" w:cs="Calibri"/>
      <w:b/>
      <w:sz w:val="28"/>
    </w:rPr>
  </w:style>
  <w:style w:type="paragraph" w:customStyle="1" w:styleId="Default">
    <w:name w:val="Default"/>
    <w:rPr>
      <w:rFonts w:ascii="Arial" w:hAnsi="Arial" w:cs="Arial"/>
      <w:color w:val="000000"/>
      <w:sz w:val="24"/>
      <w:szCs w:val="24"/>
    </w:rPr>
  </w:style>
  <w:style w:type="character" w:customStyle="1" w:styleId="afff5">
    <w:name w:val="Основной текст_"/>
    <w:basedOn w:val="a1"/>
    <w:link w:val="27"/>
    <w:rPr>
      <w:rFonts w:ascii="Times New Roman" w:eastAsia="Times New Roman" w:hAnsi="Times New Roman"/>
      <w:sz w:val="23"/>
      <w:szCs w:val="23"/>
      <w:shd w:val="clear" w:color="auto" w:fill="FFFFFF"/>
    </w:rPr>
  </w:style>
  <w:style w:type="paragraph" w:customStyle="1" w:styleId="27">
    <w:name w:val="Основной текст2"/>
    <w:basedOn w:val="a0"/>
    <w:link w:val="afff5"/>
    <w:pPr>
      <w:widowControl w:val="0"/>
      <w:shd w:val="clear" w:color="auto" w:fill="FFFFFF"/>
      <w:spacing w:line="0" w:lineRule="atLeast"/>
      <w:ind w:firstLine="0"/>
    </w:pPr>
    <w:rPr>
      <w:rFonts w:ascii="Times New Roman" w:eastAsia="Times New Roman" w:hAnsi="Times New Roman"/>
      <w:sz w:val="23"/>
      <w:szCs w:val="23"/>
    </w:rPr>
  </w:style>
  <w:style w:type="character" w:customStyle="1" w:styleId="11pt">
    <w:name w:val="Основной текст + 11 pt;Полужирный"/>
    <w:basedOn w:val="afff5"/>
    <w:rPr>
      <w:rFonts w:ascii="Times New Roman" w:eastAsia="Times New Roman" w:hAnsi="Times New Roman" w:cs="Times New Roman"/>
      <w:b/>
      <w:bCs/>
      <w:i w:val="0"/>
      <w:iCs w:val="0"/>
      <w:smallCaps w:val="0"/>
      <w:strike w:val="0"/>
      <w:color w:val="000000"/>
      <w:spacing w:val="0"/>
      <w:position w:val="0"/>
      <w:sz w:val="22"/>
      <w:szCs w:val="22"/>
      <w:u w:val="none"/>
      <w:shd w:val="clear" w:color="auto" w:fill="FFFFFF"/>
      <w:lang w:val="ru-RU"/>
    </w:rPr>
  </w:style>
  <w:style w:type="character" w:customStyle="1" w:styleId="53">
    <w:name w:val="Основной текст (5)_"/>
    <w:basedOn w:val="a1"/>
    <w:link w:val="54"/>
    <w:rPr>
      <w:rFonts w:ascii="Times New Roman" w:eastAsia="Times New Roman" w:hAnsi="Times New Roman"/>
      <w:b/>
      <w:bCs/>
      <w:sz w:val="23"/>
      <w:szCs w:val="23"/>
      <w:shd w:val="clear" w:color="auto" w:fill="FFFFFF"/>
    </w:rPr>
  </w:style>
  <w:style w:type="paragraph" w:customStyle="1" w:styleId="54">
    <w:name w:val="Основной текст (5)"/>
    <w:basedOn w:val="a0"/>
    <w:link w:val="53"/>
    <w:pPr>
      <w:widowControl w:val="0"/>
      <w:shd w:val="clear" w:color="auto" w:fill="FFFFFF"/>
      <w:spacing w:after="60" w:line="0" w:lineRule="atLeast"/>
      <w:ind w:hanging="1880"/>
    </w:pPr>
    <w:rPr>
      <w:rFonts w:ascii="Times New Roman" w:eastAsia="Times New Roman" w:hAnsi="Times New Roman"/>
      <w:b/>
      <w:bCs/>
      <w:sz w:val="23"/>
      <w:szCs w:val="23"/>
    </w:rPr>
  </w:style>
  <w:style w:type="paragraph" w:customStyle="1" w:styleId="17">
    <w:name w:val="Основной текст1"/>
    <w:basedOn w:val="a0"/>
    <w:pPr>
      <w:widowControl w:val="0"/>
      <w:shd w:val="clear" w:color="auto" w:fill="FFFFFF"/>
      <w:ind w:firstLine="400"/>
    </w:pPr>
    <w:rPr>
      <w:rFonts w:ascii="Times New Roman" w:eastAsia="Times New Roman" w:hAnsi="Times New Roman"/>
      <w:color w:val="000000"/>
      <w:sz w:val="28"/>
      <w:szCs w:val="28"/>
      <w:lang w:eastAsia="ru-RU" w:bidi="ru-RU"/>
    </w:rPr>
  </w:style>
  <w:style w:type="character" w:customStyle="1" w:styleId="28">
    <w:name w:val="Колонтитул (2)_"/>
    <w:basedOn w:val="a1"/>
    <w:link w:val="29"/>
    <w:rPr>
      <w:rFonts w:ascii="Times New Roman" w:eastAsia="Times New Roman" w:hAnsi="Times New Roman"/>
      <w:sz w:val="20"/>
      <w:szCs w:val="20"/>
      <w:shd w:val="clear" w:color="auto" w:fill="FFFFFF"/>
    </w:rPr>
  </w:style>
  <w:style w:type="paragraph" w:customStyle="1" w:styleId="29">
    <w:name w:val="Колонтитул (2)"/>
    <w:basedOn w:val="a0"/>
    <w:link w:val="28"/>
    <w:pPr>
      <w:widowControl w:val="0"/>
      <w:shd w:val="clear" w:color="auto" w:fill="FFFFFF"/>
      <w:ind w:firstLine="0"/>
    </w:pPr>
    <w:rPr>
      <w:rFonts w:ascii="Times New Roman" w:eastAsia="Times New Roman" w:hAnsi="Times New Roman"/>
      <w:sz w:val="20"/>
      <w:szCs w:val="20"/>
    </w:rPr>
  </w:style>
  <w:style w:type="character" w:customStyle="1" w:styleId="18">
    <w:name w:val="Заголовок №1_"/>
    <w:basedOn w:val="a1"/>
    <w:link w:val="19"/>
    <w:rPr>
      <w:rFonts w:ascii="Times New Roman" w:eastAsia="Times New Roman" w:hAnsi="Times New Roman"/>
      <w:b/>
      <w:bCs/>
      <w:sz w:val="28"/>
      <w:szCs w:val="28"/>
      <w:shd w:val="clear" w:color="auto" w:fill="FFFFFF"/>
    </w:rPr>
  </w:style>
  <w:style w:type="paragraph" w:customStyle="1" w:styleId="19">
    <w:name w:val="Заголовок №1"/>
    <w:basedOn w:val="a0"/>
    <w:link w:val="18"/>
    <w:pPr>
      <w:widowControl w:val="0"/>
      <w:shd w:val="clear" w:color="auto" w:fill="FFFFFF"/>
      <w:spacing w:after="100"/>
      <w:ind w:left="2060" w:firstLine="0"/>
      <w:outlineLvl w:val="0"/>
    </w:pPr>
    <w:rPr>
      <w:rFonts w:ascii="Times New Roman" w:eastAsia="Times New Roman" w:hAnsi="Times New Roman"/>
      <w:b/>
      <w:bCs/>
      <w:sz w:val="28"/>
      <w:szCs w:val="28"/>
    </w:rPr>
  </w:style>
  <w:style w:type="character" w:customStyle="1" w:styleId="afff6">
    <w:name w:val="Основной текст Знак"/>
    <w:basedOn w:val="a1"/>
    <w:link w:val="afff7"/>
    <w:uiPriority w:val="99"/>
    <w:rPr>
      <w:sz w:val="28"/>
      <w:szCs w:val="28"/>
      <w:shd w:val="clear" w:color="auto" w:fill="FFFFFF"/>
    </w:rPr>
  </w:style>
  <w:style w:type="paragraph" w:styleId="afff7">
    <w:name w:val="Body Text"/>
    <w:basedOn w:val="a0"/>
    <w:link w:val="afff6"/>
    <w:uiPriority w:val="99"/>
    <w:pPr>
      <w:widowControl w:val="0"/>
      <w:shd w:val="clear" w:color="auto" w:fill="FFFFFF"/>
      <w:ind w:firstLine="400"/>
    </w:pPr>
    <w:rPr>
      <w:sz w:val="28"/>
      <w:szCs w:val="28"/>
    </w:rPr>
  </w:style>
  <w:style w:type="character" w:customStyle="1" w:styleId="1a">
    <w:name w:val="Основной текст Знак1"/>
    <w:basedOn w:val="a1"/>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97%D0%B0%D0%BA%D0%BE%D0%BD%D0%BE%D0%B4%D0%B0%D1%82%D0%B5%D0%BB%D1%8C%D1%81%D1%82%D0%B2%D0%B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Твердый переплет">
      <a:majorFont>
        <a:latin typeface="Book Antiqua"/>
        <a:ea typeface="Arial"/>
        <a:cs typeface="Arial"/>
      </a:majorFont>
      <a:minorFont>
        <a:latin typeface="Book Antiqua"/>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5AD56-9AD7-4A30-85EF-32F980F53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6841</Words>
  <Characters>38996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родолжение формы 1 ОРИД ГПГР Сведения о финансовых вложениях и обязательствах</vt:lpstr>
    </vt:vector>
  </TitlesOfParts>
  <Company/>
  <LinksUpToDate>false</LinksUpToDate>
  <CharactersWithSpaces>45746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родолжение формы 1 ОРИД ГПГР Сведения о финансовых вложениях и обязательствах</dc:title>
  <dc:subject/>
  <dc:creator>Ныркова Мария Геннадьевна</dc:creator>
  <cp:keywords/>
  <dc:description/>
  <cp:lastModifiedBy>Гайнутдинова Виктория Анатольевна</cp:lastModifiedBy>
  <cp:revision>3</cp:revision>
  <dcterms:created xsi:type="dcterms:W3CDTF">2024-11-18T12:07:00Z</dcterms:created>
  <dcterms:modified xsi:type="dcterms:W3CDTF">2024-11-18T12:07:00Z</dcterms:modified>
</cp:coreProperties>
</file>